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r>
        <w:t xml:space="preserve"/>
      </w:r>
    </w:p>
    <w:p>
      <w:r>
        <w:rPr>
          <w:rFonts w:ascii="Arial" w:cs="Arial" w:eastAsia="Arial" w:hAnsi="Arial"/>
          <w:color w:val="666666"/>
          <w:sz w:val="22"/>
          <w:szCs w:val="22"/>
        </w:rPr>
        <w:t xml:space="preserve">LeasNet GmbH · miet.net</w:t>
      </w:r>
    </w:p>
    <w:p>
      <w:pPr>
        <w:spacing w:after="400"/>
      </w:pPr>
      <w:r>
        <w:rPr>
          <w:rFonts w:ascii="Arial" w:cs="Arial" w:eastAsia="Arial" w:hAnsi="Arial"/>
          <w:b/>
          <w:bCs/>
          <w:color w:val="1A3E75"/>
          <w:sz w:val="22"/>
          <w:szCs w:val="22"/>
        </w:rPr>
        <w:t xml:space="preserve">Iteration 4 · Vendor-Paket</w:t>
      </w:r>
    </w:p>
    <w:p>
      <w:pPr>
        <w:pStyle w:val="Title"/>
      </w:pPr>
      <w:r>
        <w:t xml:space="preserve">Vendor-Paket</w:t>
      </w:r>
    </w:p>
    <w:p>
      <w:pPr>
        <w:pStyle w:val="Subtitle"/>
      </w:pPr>
      <w:r>
        <w:t xml:space="preserve">12 Dokumente zwischen LeasNet GmbH und Vendor</w:t>
      </w:r>
    </w:p>
    <w:p>
      <w:pPr>
        <w:spacing w:before="1200"/>
      </w:pPr>
      <w:r>
        <w:t xml:space="preserve"/>
      </w:r>
    </w:p>
    <w:p>
      <w:r>
        <w:rPr>
          <w:b/>
          <w:bCs/>
        </w:rPr>
        <w:t xml:space="preserve">Version 1.0 · Sprache: Deutsch (kanonisch)</w:t>
      </w:r>
    </w:p>
    <w:p>
      <w:r>
        <w:t xml:space="preserve">Status: Entwurf für anwaltliche Prüfung · Erstellt am: 2026-07-17</w:t>
      </w:r>
    </w:p>
    <w:p>
      <w:r>
        <w:t xml:space="preserve">Owner: Legal Governance Board der LeasNet GmbH</w:t>
      </w:r>
    </w:p>
    <w:p>
      <w:r>
        <w:rPr>
          <w:i/>
          <w:iCs/>
          <w:color w:val="666666"/>
        </w:rPr>
        <w:t xml:space="preserve">Alle nachfolgenden Dokumente verweisen auf den Legal Blueprint (BP) und den Definitions-Katalog (Kategorien PL, RO, PR, BK, RM, PY, DP, DM, WH, ID, BZ, VN, DA, CO, RK, SU, CN, DO). Vor Livegang anwaltliche Freigabe erforderlich.</w:t>
      </w:r>
    </w:p>
    <w:p>
      <w:r>
        <w:br w:type="page"/>
      </w:r>
    </w:p>
    <w:p>
      <w:pPr>
        <w:pStyle w:val="Heading1"/>
      </w:pPr>
      <w:r>
        <w:t xml:space="preserve">Über dieses Paket</w:t>
      </w:r>
    </w:p>
    <w:p>
      <w:r>
        <w:t xml:space="preserve">Dieses Paket bündelt Rahmenwerk, Portal-, Compliance- und Betriebsrichtlinien für die Zusammenarbeit mit Vendoren im Marketplace-Modell (RM-002). Es integriert die Vorgaben der P2B-Verordnung, der DSGVO, des GwG und des Verbraucher- und Wettbewerbsrechts.</w:t>
      </w:r>
    </w:p>
    <w:p>
      <w:pPr>
        <w:pStyle w:val="Heading1"/>
      </w:pPr>
      <w:r>
        <w:t xml:space="preserve">Enthaltene Dokumente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5960"/>
        <w:gridCol w:w="200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ID</w:t>
            </w:r>
          </w:p>
        </w:tc>
        <w:tc>
          <w:tcPr>
            <w:tcW w:type="dxa" w:w="59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Dokument</w:t>
            </w:r>
          </w:p>
        </w:tc>
        <w:tc>
          <w:tcPr>
            <w:tcW w:type="dxa" w:w="2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Adressat</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VDR-FRA</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 Framework Agreement</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 (Rahmenvertrag mit LeasNet GmbH)</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VDR-POR</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Vendor-Portal Terms</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 · Portalnutzung</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VDR-VER</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Onboarding- und Verifikationsrichtlinie</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VDR-LST</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Listing- und Content-Policy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VDR-PRD</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Product- und Compliance-Policy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VDR-WHS</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Warehouse- und Fulfillment-Bedingungen</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VDR-SET</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Settlement-, Provisions- und Auszahlungs-Policy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VDR-RNK</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Ranking- und Sichtbarkeits-Policy (P2B)</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VDR-ADS</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Advertising 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VDR-BRA</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Marken- und IP-Lizenz</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VDR-DAT</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Data-Sharing-Vereinbarung (Vendor)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VDR-COM</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Beschwerde-, Suspendierungs- und Deaktivierungs-Policy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Vendor</w:t>
            </w:r>
          </w:p>
        </w:tc>
      </w:tr>
    </w:tbl>
    <w:p>
      <w:r>
        <w:br w:type="page"/>
      </w:r>
    </w:p>
    <w:p>
      <w:pPr>
        <w:pStyle w:val="DocTitle"/>
      </w:pPr>
      <w:r>
        <w:t xml:space="preserve">VDR-FRA · Vendor Framework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VDR-FRA</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VDR-FRA</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BP-04, BP-16, BP-27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Dieses Rahmenwerk regelt die Zusammenarbeit zwischen dem Vendor (RO-008) und der LeasNet GmbH als Plattform- und Vermittlungsdienstleisterin. Die konkrete Ausgestaltung erfolgt in ergänzenden Modul-Dokumenten dieses Pakets sowie individuellen Anhängen (Onboarding, Preisliste, Warehouse-Nutzung).</w:t>
      </w:r>
    </w:p>
    <w:p>
      <w:r>
        <w:t xml:space="preserve">Für einzelne Mietverträge zwischen Vendor und Kunde gelten die dortigen Bedingungen und die Consumer- bzw. Business-Dokumente. Das vorliegende Rahmenwerk gilt zwischen Vendor und LeasNet GmbH.</w:t>
      </w:r>
    </w:p>
    <w:p>
      <w:pPr>
        <w:pStyle w:val="Heading1"/>
      </w:pPr>
      <w:r>
        <w:t xml:space="preserve">VDR-FRA-01 · Gegenstand</w:t>
      </w:r>
    </w:p>
    <w:p>
      <w:pPr>
        <w:pStyle w:val="Heading2"/>
      </w:pPr>
      <w:r>
        <w:t xml:space="preserve">VDR-FRA-01-01 · Leistungsumfang der Plattform</w:t>
      </w:r>
    </w:p>
    <w:p>
      <w:r>
        <w:t xml:space="preserve">Die LeasNet GmbH stellt dem Vendor die Marketplace-Funktionalität (RM-002) auf miet.net bereit, führt Zahlungs- und Kautionsabwicklung, vermittelt Verbraucher- und Business-Kunden, ermöglicht die Nutzung von Warehouses (WH-001) und stellt Portal-, Reporting- und API-Funktionen zur Verfügung.</w:t>
      </w:r>
    </w:p>
    <w:p>
      <w:pPr>
        <w:pStyle w:val="Heading1"/>
      </w:pPr>
      <w:r>
        <w:t xml:space="preserve">VDR-FRA-02 · Rollen und Verantwortlichkeiten</w:t>
      </w:r>
    </w:p>
    <w:p>
      <w:pPr>
        <w:pStyle w:val="Heading2"/>
      </w:pPr>
      <w:r>
        <w:t xml:space="preserve">VDR-FRA-02-01 · Vendor</w:t>
      </w:r>
    </w:p>
    <w:p>
      <w:r>
        <w:t xml:space="preserve">Der Vendor ist Vermieter (RO-002) der von ihm angebotenen Assets und ist für die vertragskonforme Erfüllung des Mietvertrags gegenüber dem Kunden verantwortlich.</w:t>
      </w:r>
    </w:p>
    <w:p>
      <w:pPr>
        <w:pStyle w:val="Heading2"/>
      </w:pPr>
      <w:r>
        <w:t xml:space="preserve">VDR-FRA-02-02 · Plattform</w:t>
      </w:r>
    </w:p>
    <w:p>
      <w:r>
        <w:t xml:space="preserve">Die LeasNet GmbH wird nicht Partei des Mietvertrags im Marketplace und übernimmt keine Erfüllungsverantwortung für den Mietgegenstand; sie erbringt Vermittlungs-, Zahlungs- und Kautionsdienstleistungen.</w:t>
      </w:r>
    </w:p>
    <w:p>
      <w:pPr>
        <w:pStyle w:val="Heading1"/>
      </w:pPr>
      <w:r>
        <w:t xml:space="preserve">VDR-FRA-03 · Vertragslaufzeit und Kündigung</w:t>
      </w:r>
    </w:p>
    <w:p>
      <w:pPr>
        <w:pStyle w:val="Heading2"/>
      </w:pPr>
      <w:r>
        <w:t xml:space="preserve">VDR-FRA-03-01 · Laufzeit</w:t>
      </w:r>
    </w:p>
    <w:p>
      <w:r>
        <w:t xml:space="preserve">Der Rahmenvertrag wird auf unbestimmte Zeit geschlossen und kann von jeder Partei mit einer Frist von drei Monaten zum Monatsende gekündigt werden.</w:t>
      </w:r>
    </w:p>
    <w:p>
      <w:pPr>
        <w:pStyle w:val="Heading2"/>
      </w:pPr>
      <w:r>
        <w:t xml:space="preserve">VDR-FRA-03-02 · Außerordentliche Kündigung</w:t>
      </w:r>
    </w:p>
    <w:p>
      <w:r>
        <w:t xml:space="preserve">Ein Recht zur außerordentlichen Kündigung aus wichtigem Grund bleibt unberührt, insbesondere bei wiederholten oder schweren Verstößen gegen die Vendor-Dokumente (VDR-*), gegen die Community Rules (PLT-COM) oder gegen zwingende gesetzliche Vorschriften.</w:t>
      </w:r>
    </w:p>
    <w:p>
      <w:pPr>
        <w:pStyle w:val="Heading2"/>
      </w:pPr>
      <w:r>
        <w:t xml:space="preserve">VDR-FRA-03-03 · Abwicklung</w:t>
      </w:r>
    </w:p>
    <w:p>
      <w:r>
        <w:t xml:space="preserve">Bei Kündigung werden laufende Mieten geordnet zu Ende geführt, Auszahlungen (PY-025) nach den geltenden Regeln vorgenommen und Nutzerdaten nach dem Aufbewahrungsplan (DA-020) behandelt.</w:t>
      </w:r>
    </w:p>
    <w:p>
      <w:pPr>
        <w:pStyle w:val="Heading1"/>
      </w:pPr>
      <w:r>
        <w:t xml:space="preserve">VDR-FRA-04 · Compliance und Sanktionen</w:t>
      </w:r>
    </w:p>
    <w:p>
      <w:pPr>
        <w:pStyle w:val="Heading2"/>
      </w:pPr>
      <w:r>
        <w:t xml:space="preserve">VDR-FRA-04-01 · Sanktionen und Exportkontrolle</w:t>
      </w:r>
    </w:p>
    <w:p>
      <w:r>
        <w:t xml:space="preserve">Der Vendor sichert zu, gegen keine EU-, VN- oder OFAC-Sanktionen zu verstoßen (ID-010) und alle einschlägigen Vorschriften einzuhalten.</w:t>
      </w:r>
    </w:p>
    <w:p>
      <w:pPr>
        <w:pStyle w:val="Heading2"/>
      </w:pPr>
      <w:r>
        <w:t xml:space="preserve">VDR-FRA-04-02 · Antikorruption</w:t>
      </w:r>
    </w:p>
    <w:p>
      <w:r>
        <w:t xml:space="preserve">Der Vendor beachtet insbesondere die Vorschriften der §§ 331 ff. StGB und internationale Standards (UK Bribery Act, FCPA), soweit anwendbar.</w:t>
      </w:r>
    </w:p>
    <w:p>
      <w:pPr>
        <w:pStyle w:val="Heading1"/>
      </w:pPr>
      <w:r>
        <w:t xml:space="preserve">VDR-FRA-05 · Vergütung, Provision, Gebühren</w:t>
      </w:r>
    </w:p>
    <w:p>
      <w:pPr>
        <w:pStyle w:val="Heading2"/>
      </w:pPr>
      <w:r>
        <w:t xml:space="preserve">VDR-FRA-05-01 · Verweis</w:t>
      </w:r>
    </w:p>
    <w:p>
      <w:r>
        <w:t xml:space="preserve">Die Vergütungsstruktur ergibt sich aus der Settlement Policy (VDR-SET); Änderungen der Preise werden nach dem Änderungsmodell (CN-001) angekündigt.</w:t>
      </w:r>
    </w:p>
    <w:p>
      <w:pPr>
        <w:pStyle w:val="Heading1"/>
      </w:pPr>
      <w:r>
        <w:t xml:space="preserve">VDR-FRA-06 · Haftung</w:t>
      </w:r>
    </w:p>
    <w:p>
      <w:pPr>
        <w:pStyle w:val="Heading2"/>
      </w:pPr>
      <w:r>
        <w:t xml:space="preserve">VDR-FRA-06-01 · Beschränkung</w:t>
      </w:r>
    </w:p>
    <w:p>
      <w:r>
        <w:t xml:space="preserve">Die Haftung der LeasNet GmbH gegenüber dem Vendor ist bei einfacher Fahrlässigkeit auf die Verletzung wesentlicher Vertragspflichten und den vertragstypischen, vorhersehbaren Schaden beschränkt. Unbeschränkte Haftung besteht bei Vorsatz, grober Fahrlässigkeit und für Verletzungen von Leben, Körper und Gesundheit.</w:t>
      </w:r>
    </w:p>
    <w:p>
      <w:r>
        <w:br w:type="page"/>
      </w:r>
    </w:p>
    <w:p>
      <w:pPr>
        <w:pStyle w:val="DocTitle"/>
      </w:pPr>
      <w:r>
        <w:t xml:space="preserve">VDR-POR · Vendor-Portal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VDR-POR</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VDR-POR</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BP-05</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regeln die Nutzung des Vendor-Portals (PL-008) durch den Vendor und seine autorisierten Nutzer.</w:t>
      </w:r>
    </w:p>
    <w:p>
      <w:pPr>
        <w:pStyle w:val="Heading1"/>
      </w:pPr>
      <w:r>
        <w:t xml:space="preserve">VDR-POR-01 · Zugang</w:t>
      </w:r>
    </w:p>
    <w:p>
      <w:pPr>
        <w:pStyle w:val="Heading2"/>
      </w:pPr>
      <w:r>
        <w:t xml:space="preserve">VDR-POR-01-01 · Nutzerkonten</w:t>
      </w:r>
    </w:p>
    <w:p>
      <w:r>
        <w:t xml:space="preserve">Der Vendor benennt eine primäre Ansprechperson und legt weitere Nutzer mit definierten Rollen (VN-002) an. Rollenkonzept: Owner, Admin, Operator, Finance, Support, Read-only.</w:t>
      </w:r>
    </w:p>
    <w:p>
      <w:pPr>
        <w:pStyle w:val="Heading2"/>
      </w:pPr>
      <w:r>
        <w:t xml:space="preserve">VDR-POR-01-02 · Sicherheit</w:t>
      </w:r>
    </w:p>
    <w:p>
      <w:r>
        <w:t xml:space="preserve">Zwei-Faktor-Authentifizierung ist für alle privilegierten Rollen verpflichtend. Zugangsdaten sind vertraulich zu behandeln, Kompromittierungen unverzüglich zu melden.</w:t>
      </w:r>
    </w:p>
    <w:p>
      <w:pPr>
        <w:pStyle w:val="Heading1"/>
      </w:pPr>
      <w:r>
        <w:t xml:space="preserve">VDR-POR-02 · Nutzungsumfang</w:t>
      </w:r>
    </w:p>
    <w:p>
      <w:pPr>
        <w:pStyle w:val="Heading2"/>
      </w:pPr>
      <w:r>
        <w:t xml:space="preserve">VDR-POR-02-01 · Erlaubte Nutzungen</w:t>
      </w:r>
    </w:p>
    <w:p>
      <w:r>
        <w:t xml:space="preserve">Das Portal darf nur zur Verwaltung der eigenen Vendor-Aktivitäten genutzt werden. Automatisierte Nutzung ist nur über die offiziellen APIs zulässig.</w:t>
      </w:r>
    </w:p>
    <w:p>
      <w:pPr>
        <w:pStyle w:val="Heading1"/>
      </w:pPr>
      <w:r>
        <w:t xml:space="preserve">VDR-POR-03 · Änderungen und Wartung</w:t>
      </w:r>
    </w:p>
    <w:p>
      <w:pPr>
        <w:pStyle w:val="Heading2"/>
      </w:pPr>
      <w:r>
        <w:t xml:space="preserve">VDR-POR-03-01 · Wartungsfenster</w:t>
      </w:r>
    </w:p>
    <w:p>
      <w:r>
        <w:t xml:space="preserve">Geplante Wartungsfenster werden vorab angekündigt. Notfallwartung kann jederzeit erfolgen.</w:t>
      </w:r>
    </w:p>
    <w:p>
      <w:r>
        <w:br w:type="page"/>
      </w:r>
    </w:p>
    <w:p>
      <w:pPr>
        <w:pStyle w:val="DocTitle"/>
      </w:pPr>
      <w:r>
        <w:t xml:space="preserve">VDR-VER · Onboarding- und Verifikationsrichtlinie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VDR-VER</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VDR-VER</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BP-14</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Richtlinie beschreibt den Onboarding-Prozess und die laufende Verifikation des Vendors.</w:t>
      </w:r>
    </w:p>
    <w:p>
      <w:pPr>
        <w:pStyle w:val="Heading1"/>
      </w:pPr>
      <w:r>
        <w:t xml:space="preserve">VDR-VER-01 · Erst-Verifikation</w:t>
      </w:r>
    </w:p>
    <w:p>
      <w:pPr>
        <w:pStyle w:val="Heading2"/>
      </w:pPr>
      <w:r>
        <w:t xml:space="preserve">VDR-VER-01-01 · Unterlagen</w:t>
      </w:r>
    </w:p>
    <w:p>
      <w:pPr>
        <w:pStyle w:val="ListParagraph"/>
        <w:numPr>
          <w:ilvl w:val="0"/>
          <w:numId w:val="2"/>
        </w:numPr>
      </w:pPr>
      <w:r>
        <w:t xml:space="preserve">Nachweis Rechtsform und Vertretung (ID-006, ID-007).</w:t>
      </w:r>
    </w:p>
    <w:p>
      <w:pPr>
        <w:pStyle w:val="ListParagraph"/>
        <w:numPr>
          <w:ilvl w:val="0"/>
          <w:numId w:val="2"/>
        </w:numPr>
      </w:pPr>
      <w:r>
        <w:t xml:space="preserve">Identitätsnachweis der vertretungsberechtigten Personen.</w:t>
      </w:r>
    </w:p>
    <w:p>
      <w:pPr>
        <w:pStyle w:val="ListParagraph"/>
        <w:numPr>
          <w:ilvl w:val="0"/>
          <w:numId w:val="2"/>
        </w:numPr>
      </w:pPr>
      <w:r>
        <w:t xml:space="preserve">Bankverbindung für Auszahlungen (PY-025).</w:t>
      </w:r>
    </w:p>
    <w:p>
      <w:pPr>
        <w:pStyle w:val="ListParagraph"/>
        <w:numPr>
          <w:ilvl w:val="0"/>
          <w:numId w:val="2"/>
        </w:numPr>
      </w:pPr>
      <w:r>
        <w:t xml:space="preserve">Ggf. Nachweise zu wirtschaftlich Berechtigten (ID-008).</w:t>
      </w:r>
    </w:p>
    <w:p>
      <w:pPr>
        <w:pStyle w:val="ListParagraph"/>
        <w:numPr>
          <w:ilvl w:val="0"/>
          <w:numId w:val="2"/>
        </w:numPr>
      </w:pPr>
      <w:r>
        <w:t xml:space="preserve">Ggf. Nachweise für regulierte Assets oder Produktkategorien.</w:t>
      </w:r>
    </w:p>
    <w:p>
      <w:pPr>
        <w:pStyle w:val="Heading1"/>
      </w:pPr>
      <w:r>
        <w:t xml:space="preserve">VDR-VER-02 · Screening</w:t>
      </w:r>
    </w:p>
    <w:p>
      <w:pPr>
        <w:pStyle w:val="Heading2"/>
      </w:pPr>
      <w:r>
        <w:t xml:space="preserve">VDR-VER-02-01 · PEP- und Sanktionsprüfung</w:t>
      </w:r>
    </w:p>
    <w:p>
      <w:r>
        <w:t xml:space="preserve">Der Vendor und relevante Personen werden gegen PEP- und Sanktionslisten geprüft (ID-009, ID-010). Positive Treffer führen zu vertiefter Prüfung und ggf. zur Ablehnung des Onboardings.</w:t>
      </w:r>
    </w:p>
    <w:p>
      <w:pPr>
        <w:pStyle w:val="Heading1"/>
      </w:pPr>
      <w:r>
        <w:t xml:space="preserve">VDR-VER-03 · Rezertifizierung</w:t>
      </w:r>
    </w:p>
    <w:p>
      <w:pPr>
        <w:pStyle w:val="Heading2"/>
      </w:pPr>
      <w:r>
        <w:t xml:space="preserve">VDR-VER-03-01 · Zyklen</w:t>
      </w:r>
    </w:p>
    <w:p>
      <w:r>
        <w:t xml:space="preserve">Verifikationen werden regelmäßig aktualisiert (ID-011). Änderungen (Rechtsform, Vertretung, wirtschaftlich Berechtigte) sind unverzüglich mitzuteilen.</w:t>
      </w:r>
    </w:p>
    <w:p>
      <w:r>
        <w:br w:type="page"/>
      </w:r>
    </w:p>
    <w:p>
      <w:pPr>
        <w:pStyle w:val="DocTitle"/>
      </w:pPr>
      <w:r>
        <w:t xml:space="preserve">VDR-LST · Listing- und Content-Policy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VDR-LST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VDR-LST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BP-06, BP-21</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regelt Gestaltung, Inhalte und Aktualisierung von Angebots-Listings (VN-006) durch den Vendor.</w:t>
      </w:r>
    </w:p>
    <w:p>
      <w:pPr>
        <w:pStyle w:val="Heading1"/>
      </w:pPr>
      <w:r>
        <w:t xml:space="preserve">VDR-LST-01 · Anforderungen an Listings</w:t>
      </w:r>
    </w:p>
    <w:p>
      <w:pPr>
        <w:pStyle w:val="Heading2"/>
      </w:pPr>
      <w:r>
        <w:t xml:space="preserve">VDR-LST-01-01 · Vollständigkeit</w:t>
      </w:r>
    </w:p>
    <w:p>
      <w:r>
        <w:t xml:space="preserve">Jedes Listing enthält vollständige Angaben zu Produkt, technischen Daten, Zubehör, Ausgangszustand, Verpackung, Wiederbeschaffungswert (PR-011), Kaution, Verfügbarkeitsfenster, Zustellungs- und Rückgabeoptionen sowie den maßgeblichen Bedingungen.</w:t>
      </w:r>
    </w:p>
    <w:p>
      <w:pPr>
        <w:pStyle w:val="Heading2"/>
      </w:pPr>
      <w:r>
        <w:t xml:space="preserve">VDR-LST-01-02 · Wahrheitsgemäße Darstellung</w:t>
      </w:r>
    </w:p>
    <w:p>
      <w:r>
        <w:t xml:space="preserve">Beschreibungen und Bilder müssen den tatsächlichen Zustand präzise wiedergeben. Irreführende Angaben, unlautere Werbung und rechtswidrige Ausschmückungen sind verboten.</w:t>
      </w:r>
    </w:p>
    <w:p>
      <w:pPr>
        <w:pStyle w:val="Heading1"/>
      </w:pPr>
      <w:r>
        <w:t xml:space="preserve">VDR-LST-02 · Preisdarstellung</w:t>
      </w:r>
    </w:p>
    <w:p>
      <w:pPr>
        <w:pStyle w:val="Heading2"/>
      </w:pPr>
      <w:r>
        <w:t xml:space="preserve">VDR-LST-02-01 · Transparenz</w:t>
      </w:r>
    </w:p>
    <w:p>
      <w:r>
        <w:t xml:space="preserve">Preise werden inkl. gesetzlicher Umsatzsteuer und aller obligatorischen Nebenkosten angegeben (PAngV-konform).</w:t>
      </w:r>
    </w:p>
    <w:p>
      <w:pPr>
        <w:pStyle w:val="Heading1"/>
      </w:pPr>
      <w:r>
        <w:t xml:space="preserve">VDR-LST-03 · Aktualität</w:t>
      </w:r>
    </w:p>
    <w:p>
      <w:pPr>
        <w:pStyle w:val="Heading2"/>
      </w:pPr>
      <w:r>
        <w:t xml:space="preserve">VDR-LST-03-01 · Bestand und Verfügbarkeit</w:t>
      </w:r>
    </w:p>
    <w:p>
      <w:r>
        <w:t xml:space="preserve">Der Vendor pflegt die Verfügbarkeit seiner Assets zeitnah und storniert Angebote, die tatsächlich nicht verfügbar sind, unverzüglich.</w:t>
      </w:r>
    </w:p>
    <w:p>
      <w:r>
        <w:br w:type="page"/>
      </w:r>
    </w:p>
    <w:p>
      <w:pPr>
        <w:pStyle w:val="DocTitle"/>
      </w:pPr>
      <w:r>
        <w:t xml:space="preserve">VDR-PRD · Product- und Compliance-Policy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VDR-PRD</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VDR-PRD</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BP-06, BP-21</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definiert erlaubte und verbotene Produktkategorien sowie Compliance-Anforderungen an angebotene Assets.</w:t>
      </w:r>
    </w:p>
    <w:p>
      <w:pPr>
        <w:pStyle w:val="Heading1"/>
      </w:pPr>
      <w:r>
        <w:t xml:space="preserve">VDR-PRD-01 · Verbotene Produkte</w:t>
      </w:r>
    </w:p>
    <w:p>
      <w:pPr>
        <w:pStyle w:val="Heading2"/>
      </w:pPr>
      <w:r>
        <w:t xml:space="preserve">VDR-PRD-01-01 · Katalog</w:t>
      </w:r>
    </w:p>
    <w:p>
      <w:pPr>
        <w:pStyle w:val="ListParagraph"/>
        <w:numPr>
          <w:ilvl w:val="0"/>
          <w:numId w:val="2"/>
        </w:numPr>
      </w:pPr>
      <w:r>
        <w:t xml:space="preserve">Waffen, Munition, Sprengstoffe.</w:t>
      </w:r>
    </w:p>
    <w:p>
      <w:pPr>
        <w:pStyle w:val="ListParagraph"/>
        <w:numPr>
          <w:ilvl w:val="0"/>
          <w:numId w:val="2"/>
        </w:numPr>
      </w:pPr>
      <w:r>
        <w:t xml:space="preserve">Illegale Drogen, verschreibungspflichtige Medikamente, Alkohol, Tabak.</w:t>
      </w:r>
    </w:p>
    <w:p>
      <w:pPr>
        <w:pStyle w:val="ListParagraph"/>
        <w:numPr>
          <w:ilvl w:val="0"/>
          <w:numId w:val="2"/>
        </w:numPr>
      </w:pPr>
      <w:r>
        <w:t xml:space="preserve">Nachahmungen, Plagiate, gestohlene Waren, unsichere Produkte.</w:t>
      </w:r>
    </w:p>
    <w:p>
      <w:pPr>
        <w:pStyle w:val="ListParagraph"/>
        <w:numPr>
          <w:ilvl w:val="0"/>
          <w:numId w:val="2"/>
        </w:numPr>
      </w:pPr>
      <w:r>
        <w:t xml:space="preserve">Produkte ohne gesetzlich vorgeschriebene Kennzeichnung (z. B. CE, DIN).</w:t>
      </w:r>
    </w:p>
    <w:p>
      <w:pPr>
        <w:pStyle w:val="ListParagraph"/>
        <w:numPr>
          <w:ilvl w:val="0"/>
          <w:numId w:val="2"/>
        </w:numPr>
      </w:pPr>
      <w:r>
        <w:t xml:space="preserve">Gefahrgut, Erwachsenprodukte, Tiere und Lebendware, verderbliche Lebensmittel.</w:t>
      </w:r>
    </w:p>
    <w:p>
      <w:pPr>
        <w:pStyle w:val="Heading1"/>
      </w:pPr>
      <w:r>
        <w:t xml:space="preserve">VDR-PRD-02 · Regulierte Produkte</w:t>
      </w:r>
    </w:p>
    <w:p>
      <w:pPr>
        <w:pStyle w:val="Heading2"/>
      </w:pPr>
      <w:r>
        <w:t xml:space="preserve">VDR-PRD-02-01 · Nachweispflichten</w:t>
      </w:r>
    </w:p>
    <w:p>
      <w:r>
        <w:t xml:space="preserve">Für regulierte Assets sind Nachweise zu CE-, Sicherheits- oder Zulassungsvorschriften auf Verlangen bereitzustellen.</w:t>
      </w:r>
    </w:p>
    <w:p>
      <w:pPr>
        <w:pStyle w:val="Heading1"/>
      </w:pPr>
      <w:r>
        <w:t xml:space="preserve">VDR-PRD-03 · Produktsicherheit</w:t>
      </w:r>
    </w:p>
    <w:p>
      <w:pPr>
        <w:pStyle w:val="Heading2"/>
      </w:pPr>
      <w:r>
        <w:t xml:space="preserve">VDR-PRD-03-01 · Prüfung und Rückrufe</w:t>
      </w:r>
    </w:p>
    <w:p>
      <w:r>
        <w:t xml:space="preserve">Der Vendor stellt sicher, dass seine Assets sicher und mangelfrei sind, und wirkt bei Rückrufen unverzüglich mit.</w:t>
      </w:r>
    </w:p>
    <w:p>
      <w:r>
        <w:br w:type="page"/>
      </w:r>
    </w:p>
    <w:p>
      <w:pPr>
        <w:pStyle w:val="DocTitle"/>
      </w:pPr>
      <w:r>
        <w:t xml:space="preserve">VDR-WHS · Warehouse- und Fulfillment-Bedingungen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VDR-WHS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VDR-WHS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BP-12</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regeln die Einlagerung, Bearbeitung und den Versand von Assets in Warehouses (WH-001).</w:t>
      </w:r>
    </w:p>
    <w:p>
      <w:pPr>
        <w:pStyle w:val="Heading1"/>
      </w:pPr>
      <w:r>
        <w:t xml:space="preserve">VDR-WHS-01 · Einlagerung</w:t>
      </w:r>
    </w:p>
    <w:p>
      <w:pPr>
        <w:pStyle w:val="Heading2"/>
      </w:pPr>
      <w:r>
        <w:t xml:space="preserve">VDR-WHS-01-01 · Anlieferung</w:t>
      </w:r>
    </w:p>
    <w:p>
      <w:r>
        <w:t xml:space="preserve">Anlieferung nach den Warehouse-Vorgaben (verpackt, etikettiert, mit Asset-IDs versehen). Der Wareneingang (WH-003) wird geprüft und protokolliert.</w:t>
      </w:r>
    </w:p>
    <w:p>
      <w:pPr>
        <w:pStyle w:val="Heading1"/>
      </w:pPr>
      <w:r>
        <w:t xml:space="preserve">VDR-WHS-02 · Fulfillment</w:t>
      </w:r>
    </w:p>
    <w:p>
      <w:pPr>
        <w:pStyle w:val="Heading2"/>
      </w:pPr>
      <w:r>
        <w:t xml:space="preserve">VDR-WHS-02-01 · Prozesse</w:t>
      </w:r>
    </w:p>
    <w:p>
      <w:r>
        <w:t xml:space="preserve">Warehouse-Betreiber (RO-014) übernehmen Prüfung, Reinigung, Verpackung, Versand, Rücknahme (WH-008 bis WH-011) und Zustandsbewertung (DM-013).</w:t>
      </w:r>
    </w:p>
    <w:p>
      <w:pPr>
        <w:pStyle w:val="Heading1"/>
      </w:pPr>
      <w:r>
        <w:t xml:space="preserve">VDR-WHS-03 · Gebühren und Haftung</w:t>
      </w:r>
    </w:p>
    <w:p>
      <w:pPr>
        <w:pStyle w:val="Heading2"/>
      </w:pPr>
      <w:r>
        <w:t xml:space="preserve">VDR-WHS-03-01 · Verweis</w:t>
      </w:r>
    </w:p>
    <w:p>
      <w:r>
        <w:t xml:space="preserve">Die Gebühren richten sich nach der Warehouse-Preisliste (Anlage). Für Verlust oder Schaden während der Verwahrung haftet der Warehouse-Betreiber nach den gesetzlichen Regelungen für Lagerhalter (§§ 467 ff. HGB), soweit vertraglich nicht abweichend geregelt.</w:t>
      </w:r>
    </w:p>
    <w:p>
      <w:r>
        <w:br w:type="page"/>
      </w:r>
    </w:p>
    <w:p>
      <w:pPr>
        <w:pStyle w:val="DocTitle"/>
      </w:pPr>
      <w:r>
        <w:t xml:space="preserve">VDR-SET · Settlement-, Provisions- und Auszahlungs-Policy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VDR-SET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VDR-SET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regelt Vergütung, Provisionen (PY-021), Auszahlungen (PY-025) und Rückstellungen (PY-023).</w:t>
      </w:r>
    </w:p>
    <w:p>
      <w:pPr>
        <w:pStyle w:val="Heading1"/>
      </w:pPr>
      <w:r>
        <w:t xml:space="preserve">VDR-SET-01 · Provisionsmodell</w:t>
      </w:r>
    </w:p>
    <w:p>
      <w:pPr>
        <w:pStyle w:val="Heading2"/>
      </w:pPr>
      <w:r>
        <w:t xml:space="preserve">VDR-SET-01-01 · Struktur</w:t>
      </w:r>
    </w:p>
    <w:p>
      <w:r>
        <w:t xml:space="preserve">Grundprovision (PY-021), variable Zusätze für Servicepaket-Nutzung (PY-022), Zahlungsdienstleister-Fees (PY-024). Die genauen Sätze werden individuell im Anhang zum VDR-FRA vereinbart.</w:t>
      </w:r>
    </w:p>
    <w:p>
      <w:pPr>
        <w:pStyle w:val="Heading1"/>
      </w:pPr>
      <w:r>
        <w:t xml:space="preserve">VDR-SET-02 · Auszahlungen</w:t>
      </w:r>
    </w:p>
    <w:p>
      <w:pPr>
        <w:pStyle w:val="Heading2"/>
      </w:pPr>
      <w:r>
        <w:t xml:space="preserve">VDR-SET-02-01 · Zyklen</w:t>
      </w:r>
    </w:p>
    <w:p>
      <w:r>
        <w:t xml:space="preserve">Auszahlungen erfolgen im Auszahlungszyklus (PY-026), grundsätzlich wöchentlich; individuelle Zyklen möglich.</w:t>
      </w:r>
    </w:p>
    <w:p>
      <w:pPr>
        <w:pStyle w:val="Heading2"/>
      </w:pPr>
      <w:r>
        <w:t xml:space="preserve">VDR-SET-02-02 · Rückstellungen und Sicherheiten</w:t>
      </w:r>
    </w:p>
    <w:p>
      <w:r>
        <w:t xml:space="preserve">Rückstellungen (PY-023) werden für offene Kautionsforderungen, laufende Streitfälle und potenzielle Chargebacks gebildet. Die Höhe wird risikoorientiert bestimmt.</w:t>
      </w:r>
    </w:p>
    <w:p>
      <w:pPr>
        <w:pStyle w:val="Heading1"/>
      </w:pPr>
      <w:r>
        <w:t xml:space="preserve">VDR-SET-03 · Streitfälle und Verrechnung</w:t>
      </w:r>
    </w:p>
    <w:p>
      <w:pPr>
        <w:pStyle w:val="Heading2"/>
      </w:pPr>
      <w:r>
        <w:t xml:space="preserve">VDR-SET-03-01 · Verrechnung</w:t>
      </w:r>
    </w:p>
    <w:p>
      <w:r>
        <w:t xml:space="preserve">Fällige Ansprüche der Plattform (Provision, Gebühren, Ersatz für Kundenerstattungen) können mit Vendor-Auszahlungen verrechnet werden.</w:t>
      </w:r>
    </w:p>
    <w:p>
      <w:r>
        <w:br w:type="page"/>
      </w:r>
    </w:p>
    <w:p>
      <w:pPr>
        <w:pStyle w:val="DocTitle"/>
      </w:pPr>
      <w:r>
        <w:t xml:space="preserve">VDR-RNK · Ranking- und Sichtbarkeits-Policy (P2B)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VDR-RNK</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VDR-RNK</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BP-06</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erfüllt die Transparenzpflichten der P2B-Verordnung (Verordnung (EU) 2019/1150) hinsichtlich Ranking (VN-013) und Sichtbarkeit von Vendor-Angeboten.</w:t>
      </w:r>
    </w:p>
    <w:p>
      <w:pPr>
        <w:pStyle w:val="Heading1"/>
      </w:pPr>
      <w:r>
        <w:t xml:space="preserve">VDR-RNK-01 · Hauptparameter</w:t>
      </w:r>
    </w:p>
    <w:p>
      <w:pPr>
        <w:pStyle w:val="Heading2"/>
      </w:pPr>
      <w:r>
        <w:t xml:space="preserve">VDR-RNK-01-01 · Ranking-Faktoren</w:t>
      </w:r>
    </w:p>
    <w:p>
      <w:pPr>
        <w:pStyle w:val="ListParagraph"/>
        <w:numPr>
          <w:ilvl w:val="0"/>
          <w:numId w:val="2"/>
        </w:numPr>
      </w:pPr>
      <w:r>
        <w:t xml:space="preserve">Relevanz zur Nutzeranfrage (Suchbegriffe, Filter).</w:t>
      </w:r>
    </w:p>
    <w:p>
      <w:pPr>
        <w:pStyle w:val="ListParagraph"/>
        <w:numPr>
          <w:ilvl w:val="0"/>
          <w:numId w:val="2"/>
        </w:numPr>
      </w:pPr>
      <w:r>
        <w:t xml:space="preserve">Verfügbarkeit und tatsächlicher Bestand.</w:t>
      </w:r>
    </w:p>
    <w:p>
      <w:pPr>
        <w:pStyle w:val="ListParagraph"/>
        <w:numPr>
          <w:ilvl w:val="0"/>
          <w:numId w:val="2"/>
        </w:numPr>
      </w:pPr>
      <w:r>
        <w:t xml:space="preserve">Qualität des Listings (Vollständigkeit, Aktualität).</w:t>
      </w:r>
    </w:p>
    <w:p>
      <w:pPr>
        <w:pStyle w:val="ListParagraph"/>
        <w:numPr>
          <w:ilvl w:val="0"/>
          <w:numId w:val="2"/>
        </w:numPr>
      </w:pPr>
      <w:r>
        <w:t xml:space="preserve">Historische Leistung: Erfüllungsrate, Rückgabezeiten, Reklamationsquote.</w:t>
      </w:r>
    </w:p>
    <w:p>
      <w:pPr>
        <w:pStyle w:val="ListParagraph"/>
        <w:numPr>
          <w:ilvl w:val="0"/>
          <w:numId w:val="2"/>
        </w:numPr>
      </w:pPr>
      <w:r>
        <w:t xml:space="preserve">Bewertungen und Kundenzufriedenheit.</w:t>
      </w:r>
    </w:p>
    <w:p>
      <w:pPr>
        <w:pStyle w:val="ListParagraph"/>
        <w:numPr>
          <w:ilvl w:val="0"/>
          <w:numId w:val="2"/>
        </w:numPr>
      </w:pPr>
      <w:r>
        <w:t xml:space="preserve">Preis-Leistungs-Verhältnis.</w:t>
      </w:r>
    </w:p>
    <w:p>
      <w:pPr>
        <w:pStyle w:val="ListParagraph"/>
        <w:numPr>
          <w:ilvl w:val="0"/>
          <w:numId w:val="2"/>
        </w:numPr>
      </w:pPr>
      <w:r>
        <w:t xml:space="preserve">Compliance-Status des Vendors.</w:t>
      </w:r>
    </w:p>
    <w:p>
      <w:pPr>
        <w:pStyle w:val="Heading2"/>
      </w:pPr>
      <w:r>
        <w:t xml:space="preserve">VDR-RNK-01-02 · Bezahlte Sichtbarkeit</w:t>
      </w:r>
    </w:p>
    <w:p>
      <w:r>
        <w:t xml:space="preserve">Bezahlte Sichtbarkeit (Ads, gesponserte Platzierungen) wird als solche gekennzeichnet. Details ergeben sich aus der Advertising Policy (VDR-ADS).</w:t>
      </w:r>
    </w:p>
    <w:p>
      <w:pPr>
        <w:pStyle w:val="Heading1"/>
      </w:pPr>
      <w:r>
        <w:t xml:space="preserve">VDR-RNK-02 · Änderungen</w:t>
      </w:r>
    </w:p>
    <w:p>
      <w:pPr>
        <w:pStyle w:val="Heading2"/>
      </w:pPr>
      <w:r>
        <w:t xml:space="preserve">VDR-RNK-02-01 · Ankündigung</w:t>
      </w:r>
    </w:p>
    <w:p>
      <w:r>
        <w:t xml:space="preserve">Materielle Änderungen der Hauptparameter werden dem Vendor mit mindestens 15 Tagen Vorlauf angekündigt.</w:t>
      </w:r>
    </w:p>
    <w:p>
      <w:r>
        <w:br w:type="page"/>
      </w:r>
    </w:p>
    <w:p>
      <w:pPr>
        <w:pStyle w:val="DocTitle"/>
      </w:pPr>
      <w:r>
        <w:t xml:space="preserve">VDR-ADS · Advertising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VDR-ADS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VDR-ADS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BP-06, BP-21</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beschreibt Möglichkeiten und Grenzen bezahlter Sichtbarkeit auf der Plattform.</w:t>
      </w:r>
    </w:p>
    <w:p>
      <w:pPr>
        <w:pStyle w:val="Heading1"/>
      </w:pPr>
      <w:r>
        <w:t xml:space="preserve">VDR-ADS-01 · Angebote</w:t>
      </w:r>
    </w:p>
    <w:p>
      <w:pPr>
        <w:pStyle w:val="Heading2"/>
      </w:pPr>
      <w:r>
        <w:t xml:space="preserve">VDR-ADS-01-01 · Formate</w:t>
      </w:r>
    </w:p>
    <w:p>
      <w:r>
        <w:t xml:space="preserve">Sponsored Listings, Category Highlights, Kampagnen im Newsletter oder in externen Medien. Details der Abrechnung nach separatem Anhang.</w:t>
      </w:r>
    </w:p>
    <w:p>
      <w:pPr>
        <w:pStyle w:val="Heading1"/>
      </w:pPr>
      <w:r>
        <w:t xml:space="preserve">VDR-ADS-02 · Kennzeichnung</w:t>
      </w:r>
    </w:p>
    <w:p>
      <w:pPr>
        <w:pStyle w:val="Heading2"/>
      </w:pPr>
      <w:r>
        <w:t xml:space="preserve">VDR-ADS-02-01 · Transparenz</w:t>
      </w:r>
    </w:p>
    <w:p>
      <w:r>
        <w:t xml:space="preserve">Bezahlte Platzierungen werden für Nutzer klar erkennbar gekennzeichnet.</w:t>
      </w:r>
    </w:p>
    <w:p>
      <w:pPr>
        <w:pStyle w:val="Heading1"/>
      </w:pPr>
      <w:r>
        <w:t xml:space="preserve">VDR-ADS-03 · Verbote</w:t>
      </w:r>
    </w:p>
    <w:p>
      <w:pPr>
        <w:pStyle w:val="Heading2"/>
      </w:pPr>
      <w:r>
        <w:t xml:space="preserve">VDR-ADS-03-01 · Unlautere Werbung</w:t>
      </w:r>
    </w:p>
    <w:p>
      <w:r>
        <w:t xml:space="preserve">Werbung darf nicht irreführend sein, keine geschützten Rechte Dritter verletzen und nicht gegen Community Rules (PLT-COM) oder AUP (PLT-AUP) verstoßen.</w:t>
      </w:r>
    </w:p>
    <w:p>
      <w:r>
        <w:br w:type="page"/>
      </w:r>
    </w:p>
    <w:p>
      <w:pPr>
        <w:pStyle w:val="DocTitle"/>
      </w:pPr>
      <w:r>
        <w:t xml:space="preserve">VDR-BRA · Marken- und IP-Lizenz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VDR-BRA</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VDR-BRA</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BP-04</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Vereinbarung regelt die wechselseitige Nutzung von Marken und Inhalten zwischen der LeasNet GmbH und dem Vendor.</w:t>
      </w:r>
    </w:p>
    <w:p>
      <w:pPr>
        <w:pStyle w:val="Heading1"/>
      </w:pPr>
      <w:r>
        <w:t xml:space="preserve">VDR-BRA-01 · Vendor-Content</w:t>
      </w:r>
    </w:p>
    <w:p>
      <w:pPr>
        <w:pStyle w:val="Heading2"/>
      </w:pPr>
      <w:r>
        <w:t xml:space="preserve">VDR-BRA-01-01 · Lizenzgewährung</w:t>
      </w:r>
    </w:p>
    <w:p>
      <w:r>
        <w:t xml:space="preserve">Der Vendor räumt der LeasNet GmbH das nicht-ausschließliche, unentgeltliche, weltweite Recht ein, die von ihm bereitgestellten Inhalte (Bilder, Texte, Videos, Marken) im Zusammenhang mit der Plattform zu nutzen (VN-011).</w:t>
      </w:r>
    </w:p>
    <w:p>
      <w:pPr>
        <w:pStyle w:val="Heading2"/>
      </w:pPr>
      <w:r>
        <w:t xml:space="preserve">VDR-BRA-01-02 · Zusicherungen</w:t>
      </w:r>
    </w:p>
    <w:p>
      <w:r>
        <w:t xml:space="preserve">Der Vendor sichert zu, an den bereitgestellten Inhalten die erforderlichen Rechte zu besitzen und stellt die LeasNet GmbH von Ansprüchen Dritter frei, die auf einer Verletzung dieser Zusicherung beruhen.</w:t>
      </w:r>
    </w:p>
    <w:p>
      <w:pPr>
        <w:pStyle w:val="Heading1"/>
      </w:pPr>
      <w:r>
        <w:t xml:space="preserve">VDR-BRA-02 · LeasNet-Marken</w:t>
      </w:r>
    </w:p>
    <w:p>
      <w:pPr>
        <w:pStyle w:val="Heading2"/>
      </w:pPr>
      <w:r>
        <w:t xml:space="preserve">VDR-BRA-02-01 · Nutzungsrahmen</w:t>
      </w:r>
    </w:p>
    <w:p>
      <w:r>
        <w:t xml:space="preserve">Die Nutzung der Marken „LeasNet“ und „miet.net“ durch den Vendor bedarf einer schriftlichen Freigabe und richtet sich nach den Markenrichtlinien.</w:t>
      </w:r>
    </w:p>
    <w:p>
      <w:r>
        <w:br w:type="page"/>
      </w:r>
    </w:p>
    <w:p>
      <w:pPr>
        <w:pStyle w:val="DocTitle"/>
      </w:pPr>
      <w:r>
        <w:t xml:space="preserve">VDR-DAT · Data-Sharing-Vereinbarung (Vendor)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VDR-DAT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VDR-DAT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BP-15</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Vereinbarung regelt den Austausch personenbezogener und geschäftsbezogener Daten zwischen LeasNet GmbH und Vendor.</w:t>
      </w:r>
    </w:p>
    <w:p>
      <w:pPr>
        <w:pStyle w:val="Heading1"/>
      </w:pPr>
      <w:r>
        <w:t xml:space="preserve">VDR-DAT-01 · Übermittlung an den Vendor</w:t>
      </w:r>
    </w:p>
    <w:p>
      <w:pPr>
        <w:pStyle w:val="Heading2"/>
      </w:pPr>
      <w:r>
        <w:t xml:space="preserve">VDR-DAT-01-01 · Umfang</w:t>
      </w:r>
    </w:p>
    <w:p>
      <w:r>
        <w:t xml:space="preserve">Der Vendor erhält die zur Vertragserfüllung erforderlichen Daten (VN-009): Buchungs- und Miet-IDs, Übergabe- und Rückgabezeiten, Kontaktdaten zur Zustellung und ggf. sicherheitsrelevante Hinweise. Vollständige Zahlungs- und KYC-Details werden nur bereitgestellt, soweit gesetzlich oder vertraglich erforderlich.</w:t>
      </w:r>
    </w:p>
    <w:p>
      <w:pPr>
        <w:pStyle w:val="Heading1"/>
      </w:pPr>
      <w:r>
        <w:t xml:space="preserve">VDR-DAT-02 · Datenschutz-Verantwortlichkeit</w:t>
      </w:r>
    </w:p>
    <w:p>
      <w:pPr>
        <w:pStyle w:val="Heading2"/>
      </w:pPr>
      <w:r>
        <w:t xml:space="preserve">VDR-DAT-02-01 · Rollenabgrenzung</w:t>
      </w:r>
    </w:p>
    <w:p>
      <w:r>
        <w:t xml:space="preserve">Für die im Rahmen der Vermittlung übermittelten personenbezogenen Daten ist der Vendor eigener Verantwortlicher (Art. 4 Nr. 7 DSGVO), soweit er die Daten zur Erfüllung des Mietvertrags nutzt.</w:t>
      </w:r>
    </w:p>
    <w:p>
      <w:r>
        <w:t xml:space="preserve">Soweit im Einzelfall eine gemeinsame Verantwortlichkeit (Art. 26 DSGVO) besteht, wird diese in einem gesonderten Anhang näher geregelt.</w:t>
      </w:r>
    </w:p>
    <w:p>
      <w:pPr>
        <w:pStyle w:val="Heading1"/>
      </w:pPr>
      <w:r>
        <w:t xml:space="preserve">VDR-DAT-03 · Nutzungsbeschränkungen</w:t>
      </w:r>
    </w:p>
    <w:p>
      <w:pPr>
        <w:pStyle w:val="Heading2"/>
      </w:pPr>
      <w:r>
        <w:t xml:space="preserve">VDR-DAT-03-01 · Zweckbindung</w:t>
      </w:r>
    </w:p>
    <w:p>
      <w:r>
        <w:t xml:space="preserve">Der Vendor darf die übermittelten Kundendaten ausschließlich zur Erfüllung des Mietvertrags nutzen; jede weitergehende Nutzung (insbesondere Direktmarketing außerhalb der Plattform) bedarf einer eigenständigen Rechtsgrundlage.</w:t>
      </w:r>
    </w:p>
    <w:p>
      <w:r>
        <w:br w:type="page"/>
      </w:r>
    </w:p>
    <w:p>
      <w:pPr>
        <w:pStyle w:val="DocTitle"/>
      </w:pPr>
      <w:r>
        <w:t xml:space="preserve">VDR-COM · Beschwerde-, Suspendierungs- und Deaktivierungs-Policy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VDR-COM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VDR-COM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BP-13, BP-18</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beschreibt Beschwerdewege, Suspendierung, Deaktivierung und Wiederaufnahme von Vendor-Konten und Listings; sie erfüllt die einschlägigen P2B-Vorgaben.</w:t>
      </w:r>
    </w:p>
    <w:p>
      <w:pPr>
        <w:pStyle w:val="Heading1"/>
      </w:pPr>
      <w:r>
        <w:t xml:space="preserve">VDR-COM-01 · Maßnahmen</w:t>
      </w:r>
    </w:p>
    <w:p>
      <w:pPr>
        <w:pStyle w:val="Heading2"/>
      </w:pPr>
      <w:r>
        <w:t xml:space="preserve">VDR-COM-01-01 · Stufen</w:t>
      </w:r>
    </w:p>
    <w:p>
      <w:pPr>
        <w:pStyle w:val="ListParagraph"/>
        <w:numPr>
          <w:ilvl w:val="0"/>
          <w:numId w:val="2"/>
        </w:numPr>
      </w:pPr>
      <w:r>
        <w:t xml:space="preserve">Verwarnung.</w:t>
      </w:r>
    </w:p>
    <w:p>
      <w:pPr>
        <w:pStyle w:val="ListParagraph"/>
        <w:numPr>
          <w:ilvl w:val="0"/>
          <w:numId w:val="2"/>
        </w:numPr>
      </w:pPr>
      <w:r>
        <w:t xml:space="preserve">Vorübergehende Sperrung einzelner Listings (VN-016).</w:t>
      </w:r>
    </w:p>
    <w:p>
      <w:pPr>
        <w:pStyle w:val="ListParagraph"/>
        <w:numPr>
          <w:ilvl w:val="0"/>
          <w:numId w:val="2"/>
        </w:numPr>
      </w:pPr>
      <w:r>
        <w:t xml:space="preserve">Vorübergehende Sperrung des Vendor-Kontos.</w:t>
      </w:r>
    </w:p>
    <w:p>
      <w:pPr>
        <w:pStyle w:val="ListParagraph"/>
        <w:numPr>
          <w:ilvl w:val="0"/>
          <w:numId w:val="2"/>
        </w:numPr>
      </w:pPr>
      <w:r>
        <w:t xml:space="preserve">Beendigung der Zusammenarbeit (Kündigung).</w:t>
      </w:r>
    </w:p>
    <w:p>
      <w:pPr>
        <w:pStyle w:val="Heading2"/>
      </w:pPr>
      <w:r>
        <w:t xml:space="preserve">VDR-COM-01-02 · Begründung und Widerspruch</w:t>
      </w:r>
    </w:p>
    <w:p>
      <w:r>
        <w:t xml:space="preserve">Maßnahmen werden begründet und dem Vendor mitgeteilt (VN-017). Der Vendor kann Widerspruch einlegen; das interne Beschwerdemanagement bearbeitet den Fall innerhalb angemessener Frist.</w:t>
      </w:r>
    </w:p>
    <w:p>
      <w:pPr>
        <w:pStyle w:val="Heading1"/>
      </w:pPr>
      <w:r>
        <w:t xml:space="preserve">VDR-COM-02 · Interne Streitbeilegung</w:t>
      </w:r>
    </w:p>
    <w:p>
      <w:pPr>
        <w:pStyle w:val="Heading2"/>
      </w:pPr>
      <w:r>
        <w:t xml:space="preserve">VDR-COM-02-01 · Prozess</w:t>
      </w:r>
    </w:p>
    <w:p>
      <w:r>
        <w:t xml:space="preserve">Beschwerden erhalten eine Fall-ID und werden nach dem Streitbeilegungsprozess bearbeitet. Nach Abschluss stehen dem Vendor mediationsbasierte Streitbeilegungsstellen offen; ergänzend die staatlichen Gerichte.</w:t>
      </w:r>
    </w:p>
    <w:p>
      <w:pPr>
        <w:pStyle w:val="Heading1"/>
      </w:pPr>
      <w:r>
        <w:t xml:space="preserve">VDR-COM-03 · Sofortmaßnahmen</w:t>
      </w:r>
    </w:p>
    <w:p>
      <w:pPr>
        <w:pStyle w:val="Heading2"/>
      </w:pPr>
      <w:r>
        <w:t xml:space="preserve">VDR-COM-03-01 · Notfall</w:t>
      </w:r>
    </w:p>
    <w:p>
      <w:r>
        <w:t xml:space="preserve">Bei schwerwiegenden Verstößen (Betrug, Sicherheitsgefährdung, gesetzeswidrige Angebote) kann eine sofortige Sperrung ohne Vorankündigung erfolgen; der Vendor wird unverzüglich informiert.</w:t>
      </w:r>
    </w:p>
    <w:p>
      <w:r>
        <w:br w:type="page"/>
      </w:r>
    </w:p>
    <w:p>
      <w:pPr>
        <w:pStyle w:val="Heading1"/>
      </w:pPr>
      <w:r>
        <w:t xml:space="preserve">Änderungshistorie (Paket)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4700"/>
        <w:gridCol w:w="166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Version</w:t>
            </w:r>
          </w:p>
        </w:tc>
        <w:tc>
          <w:tcPr>
            <w:tcW w:type="dxa" w:w="16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Datum</w:t>
            </w:r>
          </w:p>
        </w:tc>
        <w:tc>
          <w:tcPr>
            <w:tcW w:type="dxa" w:w="47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Änderung</w:t>
            </w:r>
          </w:p>
        </w:tc>
        <w:tc>
          <w:tcPr>
            <w:tcW w:type="dxa" w:w="16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Autor / Freigabe</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c>
          <w:tcPr>
            <w:tcW w:type="dxa" w:w="16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c>
          <w:tcPr>
            <w:tcW w:type="dxa" w:w="47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Erstversion des Pakets "Vendor-Paket".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Legal Governance Board (Entwurf)</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8"/>
        <w:szCs w:val="18"/>
      </w:rPr>
      <w:t xml:space="preserve">LeasNet GmbH · Vendor-Paket v1.0</w:t>
    </w:r>
    <w:r>
      <w:rPr>
        <w:color w:val="888888"/>
        <w:sz w:val="18"/>
        <w:szCs w:val="18"/>
      </w:rPr>
      <w:t xml:space="preserve">	Seite </w:t>
    </w:r>
    <w:r>
      <w:rPr>
        <w:color w:val="888888"/>
        <w:sz w:val="18"/>
        <w:szCs w:val="18"/>
      </w:rPr>
      <w:fldChar w:fldCharType="begin"/>
      <w:instrText xml:space="preserve">PAGE</w:instrText>
      <w:fldChar w:fldCharType="separate"/>
      <w:fldChar w:fldCharType="end"/>
    </w:r>
    <w:r>
      <w:rPr>
        <w:color w:val="888888"/>
        <w:sz w:val="18"/>
        <w:szCs w:val="18"/>
      </w:rPr>
      <w:t xml:space="preserve"> /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888888"/>
        <w:sz w:val="18"/>
        <w:szCs w:val="18"/>
      </w:rPr>
      <w:t xml:space="preserve">LeasNet GmbH · miet.net</w:t>
    </w:r>
    <w:r>
      <w:rPr>
        <w:color w:val="888888"/>
        <w:sz w:val="18"/>
        <w:szCs w:val="18"/>
      </w:rPr>
      <w:t xml:space="preserve">	Vendor-Paket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pPr>
    <w:rPr>
      <w:rFonts w:ascii="Arial" w:cs="Arial" w:eastAsia="Arial" w:hAnsi="Arial"/>
      <w:b/>
      <w:bCs/>
      <w:sz w:val="52"/>
      <w:szCs w:val="52"/>
    </w:rPr>
  </w:style>
  <w:style w:type="paragraph" w:styleId="Subtitle">
    <w:name w:val="Subtitle"/>
    <w:basedOn w:val="Normal"/>
    <w:next w:val="Normal"/>
    <w:qFormat/>
    <w:pPr>
      <w:spacing w:after="240" w:before="0"/>
    </w:pPr>
    <w:rPr>
      <w:rFonts w:ascii="Arial" w:cs="Arial" w:eastAsia="Arial" w:hAnsi="Arial"/>
      <w:color w:val="555555"/>
      <w:sz w:val="26"/>
      <w:szCs w:val="26"/>
    </w:rPr>
  </w:style>
  <w:style w:type="paragraph" w:styleId="DocTitle">
    <w:name w:val="DocTitle"/>
    <w:basedOn w:val="Normal"/>
    <w:next w:val="Normal"/>
    <w:pPr>
      <w:spacing w:after="200" w:before="480"/>
      <w:outlineLvl w:val="0"/>
    </w:pPr>
    <w:rPr>
      <w:rFonts w:ascii="Arial" w:cs="Arial" w:eastAsia="Arial" w:hAnsi="Arial"/>
      <w:b/>
      <w:bCs/>
      <w:color w:val="1A3E75"/>
      <w:sz w:val="40"/>
      <w:szCs w:val="40"/>
    </w:rPr>
  </w:style>
  <w:style w:type="paragraph" w:styleId="Heading1">
    <w:name w:val="Heading 1"/>
    <w:basedOn w:val="Normal"/>
    <w:next w:val="Normal"/>
    <w:qFormat/>
    <w:pPr>
      <w:spacing w:after="160" w:before="320"/>
      <w:outlineLvl w:val="1"/>
    </w:pPr>
    <w:rPr>
      <w:rFonts w:ascii="Arial" w:cs="Arial" w:eastAsia="Arial" w:hAnsi="Arial"/>
      <w:b/>
      <w:bCs/>
      <w:sz w:val="30"/>
      <w:szCs w:val="30"/>
    </w:rPr>
  </w:style>
  <w:style w:type="paragraph" w:styleId="Heading2">
    <w:name w:val="Heading 2"/>
    <w:basedOn w:val="Normal"/>
    <w:next w:val="Normal"/>
    <w:qFormat/>
    <w:pPr>
      <w:spacing w:after="120" w:before="220"/>
      <w:outlineLvl w:val="2"/>
    </w:pPr>
    <w:rPr>
      <w:rFonts w:ascii="Arial" w:cs="Arial" w:eastAsia="Arial" w:hAnsi="Arial"/>
      <w:b/>
      <w:bCs/>
      <w:sz w:val="24"/>
      <w:szCs w:val="24"/>
    </w:rPr>
  </w:style>
  <w:style w:type="paragraph" w:styleId="Heading3">
    <w:name w:val="Heading 3"/>
    <w:basedOn w:val="Normal"/>
    <w:next w:val="Normal"/>
    <w:qFormat/>
    <w:pPr>
      <w:spacing w:after="80" w:before="180"/>
      <w:outlineLvl w:val="3"/>
    </w:pPr>
    <w:rPr>
      <w:rFonts w:ascii="Arial" w:cs="Arial" w:eastAsia="Arial" w:hAnsi="Arial"/>
      <w:b/>
      <w:bCs/>
      <w:sz w:val="22"/>
      <w:szCs w:val="22"/>
    </w:rPr>
  </w:style>
  <w:style w:type="paragraph" w:styleId="Caption">
    <w:name w:val="Caption"/>
    <w:basedOn w:val="Normal"/>
    <w:next w:val="Normal"/>
    <w:pPr>
      <w:spacing w:after="120" w:before="0"/>
    </w:pPr>
    <w:rPr>
      <w:rFonts w:ascii="Arial" w:cs="Arial" w:eastAsia="Arial" w:hAnsi="Arial"/>
      <w:i/>
      <w:iCs/>
      <w:color w:val="666666"/>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Vendor-Paket</dc:title>
  <dc:creator>LeasNet GmbH</dc:creator>
  <cp:lastModifiedBy>Un-named</cp:lastModifiedBy>
  <cp:revision>1</cp:revision>
  <dcterms:created xsi:type="dcterms:W3CDTF">2026-07-17T08:41:00.584Z</dcterms:created>
  <dcterms:modified xsi:type="dcterms:W3CDTF">2026-07-17T08:41:00.584Z</dcterms:modified>
</cp:coreProperties>
</file>

<file path=docProps/custom.xml><?xml version="1.0" encoding="utf-8"?>
<Properties xmlns="http://schemas.openxmlformats.org/officeDocument/2006/custom-properties" xmlns:vt="http://schemas.openxmlformats.org/officeDocument/2006/docPropsVTypes"/>
</file>