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r>
        <w:t xml:space="preserve"/>
      </w:r>
    </w:p>
    <w:p>
      <w:r>
        <w:rPr>
          <w:rFonts w:ascii="Arial" w:cs="Arial" w:eastAsia="Arial" w:hAnsi="Arial"/>
          <w:color w:val="666666"/>
          <w:sz w:val="22"/>
          <w:szCs w:val="22"/>
        </w:rPr>
        <w:t xml:space="preserve">LeasNet GmbH · miet.net</w:t>
      </w:r>
    </w:p>
    <w:p>
      <w:pPr>
        <w:spacing w:after="400"/>
      </w:pPr>
      <w:r>
        <w:rPr>
          <w:rFonts w:ascii="Arial" w:cs="Arial" w:eastAsia="Arial" w:hAnsi="Arial"/>
          <w:b/>
          <w:bCs/>
          <w:color w:val="1A3E75"/>
          <w:sz w:val="22"/>
          <w:szCs w:val="22"/>
        </w:rPr>
        <w:t xml:space="preserve">Iteration 3 · Consumer-Paket</w:t>
      </w:r>
    </w:p>
    <w:p>
      <w:pPr>
        <w:pStyle w:val="Title"/>
      </w:pPr>
      <w:r>
        <w:t xml:space="preserve">Consumer-Paket</w:t>
      </w:r>
    </w:p>
    <w:p>
      <w:pPr>
        <w:pStyle w:val="Subtitle"/>
      </w:pPr>
      <w:r>
        <w:t xml:space="preserve">12 Verbraucher-Dokumente für Mietverträge über miet.net</w:t>
      </w:r>
    </w:p>
    <w:p>
      <w:pPr>
        <w:spacing w:before="1200"/>
      </w:pPr>
      <w:r>
        <w:t xml:space="preserve"/>
      </w:r>
    </w:p>
    <w:p>
      <w:r>
        <w:rPr>
          <w:b/>
          <w:bCs/>
        </w:rPr>
        <w:t xml:space="preserve">Version 1.0 · Sprache: Deutsch (kanonisch)</w:t>
      </w:r>
    </w:p>
    <w:p>
      <w:r>
        <w:t xml:space="preserve">Status: Entwurf für anwaltliche Prüfung · Erstellt am: 2026-07-17</w:t>
      </w:r>
    </w:p>
    <w:p>
      <w:r>
        <w:t xml:space="preserve">Owner: Legal Governance Board der LeasNet GmbH</w:t>
      </w:r>
    </w:p>
    <w:p>
      <w:r>
        <w:rPr>
          <w:i/>
          <w:iCs/>
          <w:color w:val="666666"/>
        </w:rPr>
        <w:t xml:space="preserve">Alle nachfolgenden Dokumente verweisen auf den Legal Blueprint (BP) und den Definitions-Katalog (Kategorien PL, RO, PR, BK, RM, PY, DP, DM, WH, ID, BZ, VN, DA, CO, RK, SU, CN, DO). Vor Livegang anwaltliche Freigabe erforderlich.</w:t>
      </w:r>
    </w:p>
    <w:p>
      <w:r>
        <w:br w:type="page"/>
      </w:r>
    </w:p>
    <w:p>
      <w:pPr>
        <w:pStyle w:val="Heading1"/>
      </w:pPr>
      <w:r>
        <w:t xml:space="preserve">Über dieses Paket</w:t>
      </w:r>
    </w:p>
    <w:p>
      <w:r>
        <w:t xml:space="preserve">Dieses Paket bündelt sämtliche Verbraucher-Dokumente für Mieten über miet.net. Alle Dokumente sind konsistent mit dem Legal Blueprint (BP) und dem Definitions-Katalog. Sie unterscheiden konsequent zwischen LeasNet Direct (RM-001) und Marketplace (RM-002).</w:t>
      </w:r>
    </w:p>
    <w:p>
      <w:r>
        <w:t xml:space="preserve">Die Ausgestaltung ist modular: Preise, Selbstbeteiligungen, Fristen, Deckungsgrenzen und Prozessdetails werden vor Livegang durch die tatsächlichen Werte ersetzt und anwaltlich geprüft.</w:t>
      </w:r>
    </w:p>
    <w:p>
      <w:pPr>
        <w:pStyle w:val="Heading1"/>
      </w:pPr>
      <w:r>
        <w:t xml:space="preserve">Enthaltene Dokumente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5960"/>
        <w:gridCol w:w="200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ID</w:t>
            </w:r>
          </w:p>
        </w:tc>
        <w:tc>
          <w:tcPr>
            <w:tcW w:type="dxa" w:w="59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Dokument</w:t>
            </w:r>
          </w:p>
        </w:tc>
        <w:tc>
          <w:tcPr>
            <w:tcW w:type="dxa" w:w="2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Adressat</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CON-AGB</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Allgemeine Verbraucher-Mietbedingungen</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 (§ 13 BGB)</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Widerrufsbelehrung für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CON-WID-F</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Muster-Widerrufsformular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CON-MV</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Mietvertrag-Vorlage (Einzelmiete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 · Automatisch generiert je Buchung</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CON-PRO</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Protection Terms — Basic, Protect+, Premium</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CON-DEP</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Kautionsbedingungen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CON-PAY</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Zahlungsbedingungen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CON-DEL</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Liefer- und Übergabebedingungen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CON-RET</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Rückgaberichtlinie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CON-DAM</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Schadensbedingungen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CON-SIG</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Bedingungen elektronischer Signaturen</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 · Business</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CON-CMP</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Beschwerde- und Streitbeilegungsordnung (Verbraucher)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Verbraucher</w:t>
            </w:r>
          </w:p>
        </w:tc>
      </w:tr>
    </w:tbl>
    <w:p>
      <w:r>
        <w:br w:type="page"/>
      </w:r>
    </w:p>
    <w:p>
      <w:pPr>
        <w:pStyle w:val="DocTitle"/>
      </w:pPr>
      <w:r>
        <w:t xml:space="preserve">CON-AGB · Allgemeine Verbraucher-Mietbedingungen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CON-AGB</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CON-AGB</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BP-03, BP-04, BP-08, BP-19</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gelten für Mietverträge, die Verbraucher (RO-003) über miet.net abschließen. Sie unterscheiden zwischen LeasNet Direct (RM-001) und Marketplace (RM-002). Bei Marketplace-Mieten ist der jeweilige Vendor Vertragspartner; die LeasNet GmbH tritt als Vermittlerin auf.</w:t>
      </w:r>
    </w:p>
    <w:p>
      <w:r>
        <w:t xml:space="preserve">Für die Nutzung der Plattform gelten zusätzlich die Plattform-Nutzungsbedingungen (PLT-TERM).</w:t>
      </w:r>
    </w:p>
    <w:p>
      <w:pPr>
        <w:pStyle w:val="Heading1"/>
      </w:pPr>
      <w:r>
        <w:t xml:space="preserve">CON-AGB-01 · Vertragsschluss</w:t>
      </w:r>
    </w:p>
    <w:p>
      <w:pPr>
        <w:pStyle w:val="Heading2"/>
      </w:pPr>
      <w:r>
        <w:t xml:space="preserve">CON-AGB-01-01 · Angebot und Annahme</w:t>
      </w:r>
    </w:p>
    <w:p>
      <w:r>
        <w:t xml:space="preserve">Die Darstellung von Produkten und Assets stellt kein bindendes Angebot dar. Mit der Bestellung gibt der Kunde ein bindendes Angebot ab. Der Mietvertrag kommt mit Zugang der Buchungsbestätigung (BK-005) des Vertragspartners zustande.</w:t>
      </w:r>
    </w:p>
    <w:p>
      <w:r>
        <w:t xml:space="preserve">Die Buchungsbestätigung nennt den Vertragspartner, die Miet-ID (BK-004), den Zeitraum, das Asset bzw. Produkt, den Zubehörumfang (PR-007), den Preis, ggf. Kaution (DP-001) und Schutzpaket sowie die geltenden Bedingungen in der aktuellen Fassung (DO-004).</w:t>
      </w:r>
    </w:p>
    <w:p>
      <w:pPr>
        <w:pStyle w:val="Heading2"/>
      </w:pPr>
      <w:r>
        <w:t xml:space="preserve">CON-AGB-01-02 · Vertragssprache und -text</w:t>
      </w:r>
    </w:p>
    <w:p>
      <w:r>
        <w:t xml:space="preserve">Vertragssprache ist Deutsch; Englisch wird als Zusatzsprache angeboten. Bei Auslegungsunterschieden ist die deutsche Fassung maßgeblich (DO-008).</w:t>
      </w:r>
    </w:p>
    <w:p>
      <w:r>
        <w:t xml:space="preserve">Der Vertragstext wird gespeichert und dem Kunden im Portal dauerhaft bereitgestellt.</w:t>
      </w:r>
    </w:p>
    <w:p>
      <w:pPr>
        <w:pStyle w:val="Heading1"/>
      </w:pPr>
      <w:r>
        <w:t xml:space="preserve">CON-AGB-02 · Leistungsumfang der Miete</w:t>
      </w:r>
    </w:p>
    <w:p>
      <w:pPr>
        <w:pStyle w:val="Heading2"/>
      </w:pPr>
      <w:r>
        <w:t xml:space="preserve">CON-AGB-02-01 · Übergabe</w:t>
      </w:r>
    </w:p>
    <w:p>
      <w:r>
        <w:t xml:space="preserve">Die Übergabe erfolgt durch Zustellung (BK-008) oder Abholung (BK-006). Mit dem Übergabezeitpunkt (WH-018) geht die Gefahrtragung auf den Kunden über.</w:t>
      </w:r>
    </w:p>
    <w:p>
      <w:pPr>
        <w:pStyle w:val="Heading2"/>
      </w:pPr>
      <w:r>
        <w:t xml:space="preserve">CON-AGB-02-02 · Pflichten des Kunden</w:t>
      </w:r>
    </w:p>
    <w:p>
      <w:r>
        <w:t xml:space="preserve">Der Kunde nutzt das Asset vertragsgemäß (DM-001), beachtet Bedienungsanleitungen und Sicherheitsvorgaben, überlässt es nur befugten Personen und schützt es angemessen vor Beschädigung, Diebstahl und Verlust.</w:t>
      </w:r>
    </w:p>
    <w:p>
      <w:r>
        <w:t xml:space="preserve">Übermäßige Nutzung (DM-002) ist untersagt.</w:t>
      </w:r>
    </w:p>
    <w:p>
      <w:pPr>
        <w:pStyle w:val="Heading2"/>
      </w:pPr>
      <w:r>
        <w:t xml:space="preserve">CON-AGB-02-03 · Rückgabe</w:t>
      </w:r>
    </w:p>
    <w:p>
      <w:r>
        <w:t xml:space="preserve">Der Kunde gibt das Asset einschließlich Zubehör und geeigneter Verpackung fristgerecht am Warehouse ab oder übergibt es dem beauftragten Versanddienstleister. Rückgabefenster (BK-012) und Kulanzfrist (BK-013) werden im Vertrag ausgewiesen.</w:t>
      </w:r>
    </w:p>
    <w:p>
      <w:pPr>
        <w:pStyle w:val="Heading1"/>
      </w:pPr>
      <w:r>
        <w:t xml:space="preserve">CON-AGB-03 · Verspätete Rückgabe und Nichtrückgabe</w:t>
      </w:r>
    </w:p>
    <w:p>
      <w:pPr>
        <w:pStyle w:val="Heading2"/>
      </w:pPr>
      <w:r>
        <w:t xml:space="preserve">CON-AGB-03-01 · Verspätung</w:t>
      </w:r>
    </w:p>
    <w:p>
      <w:r>
        <w:t xml:space="preserve">Nach Ablauf der Kulanzfrist entsteht eine verspätete Rückgabe (BK-014). Der Vermieter kann für jeden angefangenen Tag ein Verspätungsentgelt in Höhe des tagesbezogenen Mietpreises zzgl. eines im Vertrag ausgewiesenen Zuschlags in Rechnung stellen.</w:t>
      </w:r>
    </w:p>
    <w:p>
      <w:pPr>
        <w:pStyle w:val="Heading2"/>
      </w:pPr>
      <w:r>
        <w:t xml:space="preserve">CON-AGB-03-02 · Nichtrückgabe</w:t>
      </w:r>
    </w:p>
    <w:p>
      <w:r>
        <w:t xml:space="preserve">Bleibt das Asset über die im Vertrag ausgewiesene Höchstfrist hinaus aus, gilt es als nicht zurückgegeben (BK-015). Der Kunde schuldet den Wiederbeschaffungswert (DM-017) abzüglich anrechenbarer Zahlungen.</w:t>
      </w:r>
    </w:p>
    <w:p>
      <w:pPr>
        <w:pStyle w:val="Heading1"/>
      </w:pPr>
      <w:r>
        <w:t xml:space="preserve">CON-AGB-04 · Preise, Zahlungen, Rechnungen</w:t>
      </w:r>
    </w:p>
    <w:p>
      <w:pPr>
        <w:pStyle w:val="Heading2"/>
      </w:pPr>
      <w:r>
        <w:t xml:space="preserve">CON-AGB-04-01 · Preise</w:t>
      </w:r>
    </w:p>
    <w:p>
      <w:r>
        <w:t xml:space="preserve">Alle Preise werden als Bruttopreise inkl. Umsatzsteuer ausgewiesen (PY-017). Zusätzliche Nebenkosten (PY-002) und Servicepauschalen (PY-003) werden vor Vertragsschluss transparent gemacht.</w:t>
      </w:r>
    </w:p>
    <w:p>
      <w:pPr>
        <w:pStyle w:val="Heading2"/>
      </w:pPr>
      <w:r>
        <w:t xml:space="preserve">CON-AGB-04-02 · Zahlung</w:t>
      </w:r>
    </w:p>
    <w:p>
      <w:r>
        <w:t xml:space="preserve">Zahlung erfolgt über die im Warenkorb angebotenen Zahlungsmittel (PY-005) durch den Zahlungsdienstleister (RO-015). Die Details ergeben sich aus den Payment Terms (CON-PAY).</w:t>
      </w:r>
    </w:p>
    <w:p>
      <w:pPr>
        <w:pStyle w:val="Heading1"/>
      </w:pPr>
      <w:r>
        <w:t xml:space="preserve">CON-AGB-05 · Widerrufsrecht</w:t>
      </w:r>
    </w:p>
    <w:p>
      <w:pPr>
        <w:pStyle w:val="Heading2"/>
      </w:pPr>
      <w:r>
        <w:t xml:space="preserve">CON-AGB-05-01 · Verweis</w:t>
      </w:r>
    </w:p>
    <w:p>
      <w:r>
        <w:t xml:space="preserve">Verbrauchern steht ein gesetzliches Widerrufsrecht zu. Ausgestaltung und Belehrung ergeben sich aus der Widerrufsbelehrung (CON-WID) und dem Muster-Widerrufsformular (CON-WID-F).</w:t>
      </w:r>
    </w:p>
    <w:p>
      <w:pPr>
        <w:pStyle w:val="Heading1"/>
      </w:pPr>
      <w:r>
        <w:t xml:space="preserve">CON-AGB-06 · Kaution, Schutzpakete, Schäden</w:t>
      </w:r>
    </w:p>
    <w:p>
      <w:pPr>
        <w:pStyle w:val="Heading2"/>
      </w:pPr>
      <w:r>
        <w:t xml:space="preserve">CON-AGB-06-01 · Verweise</w:t>
      </w:r>
    </w:p>
    <w:p>
      <w:r>
        <w:t xml:space="preserve">Regelungen zu Kautionen ergeben sich aus den Deposit Terms (CON-DEP), zu Schäden aus den Damage Terms (CON-DAM), zu Schutzpaketen aus den Protection Terms (CON-PRO).</w:t>
      </w:r>
    </w:p>
    <w:p>
      <w:pPr>
        <w:pStyle w:val="Heading1"/>
      </w:pPr>
      <w:r>
        <w:t xml:space="preserve">CON-AGB-07 · Mängelrechte</w:t>
      </w:r>
    </w:p>
    <w:p>
      <w:pPr>
        <w:pStyle w:val="Heading2"/>
      </w:pPr>
      <w:r>
        <w:t xml:space="preserve">CON-AGB-07-01 · Anwendbare Vorschriften</w:t>
      </w:r>
    </w:p>
    <w:p>
      <w:r>
        <w:t xml:space="preserve">Es gelten die gesetzlichen Vorschriften über die Mängelrechte des Mieters (§§ 536 ff. BGB). Der Kunde hat Mängel unverzüglich anzuzeigen, damit der Vermieter Abhilfe schaffen kann.</w:t>
      </w:r>
    </w:p>
    <w:p>
      <w:pPr>
        <w:pStyle w:val="Heading1"/>
      </w:pPr>
      <w:r>
        <w:t xml:space="preserve">CON-AGB-08 · Haftung</w:t>
      </w:r>
    </w:p>
    <w:p>
      <w:pPr>
        <w:pStyle w:val="Heading2"/>
      </w:pPr>
      <w:r>
        <w:t xml:space="preserve">CON-AGB-08-01 · Haftungsmaßstab</w:t>
      </w:r>
    </w:p>
    <w:p>
      <w:r>
        <w:t xml:space="preserve">Der Vermieter haftet unbeschränkt bei Vorsatz und grober Fahrlässigkeit, bei Verletzung von Leben, Körper oder Gesundheit sowie nach dem Produkthaftungsgesetz.</w:t>
      </w:r>
    </w:p>
    <w:p>
      <w:r>
        <w:t xml:space="preserve">Bei einfacher Fahrlässigkeit haftet der Vermieter nur bei Verletzung wesentlicher Vertragspflichten und beschränkt auf den vertragstypischen, vorhersehbaren Schaden.</w:t>
      </w:r>
    </w:p>
    <w:p>
      <w:pPr>
        <w:pStyle w:val="Heading1"/>
      </w:pPr>
      <w:r>
        <w:t xml:space="preserve">CON-AGB-09 · Datenschutz</w:t>
      </w:r>
    </w:p>
    <w:p>
      <w:pPr>
        <w:pStyle w:val="Heading2"/>
      </w:pPr>
      <w:r>
        <w:t xml:space="preserve">CON-AGB-09-01 · Verweis</w:t>
      </w:r>
    </w:p>
    <w:p>
      <w:r>
        <w:t xml:space="preserve">Informationen zur Verarbeitung personenbezogener Daten ergeben sich aus der Datenschutzerklärung (PLT-DS) und der Cookie-Richtlinie (PLT-COO).</w:t>
      </w:r>
    </w:p>
    <w:p>
      <w:pPr>
        <w:pStyle w:val="Heading1"/>
      </w:pPr>
      <w:r>
        <w:t xml:space="preserve">CON-AGB-10 · Streitbeilegung und Schlussbestimmungen</w:t>
      </w:r>
    </w:p>
    <w:p>
      <w:pPr>
        <w:pStyle w:val="Heading2"/>
      </w:pPr>
      <w:r>
        <w:t xml:space="preserve">CON-AGB-10-01 · Streitbeilegung</w:t>
      </w:r>
    </w:p>
    <w:p>
      <w:r>
        <w:t xml:space="preserve">Beschwerden werden nach den Consumer Complaints (CON-CMP) und dem Dispute Resolution (CON-DIS) bearbeitet.</w:t>
      </w:r>
    </w:p>
    <w:p>
      <w:pPr>
        <w:pStyle w:val="Heading2"/>
      </w:pPr>
      <w:r>
        <w:t xml:space="preserve">CON-AGB-10-02 · Anwendbares Recht, Gerichtsstand</w:t>
      </w:r>
    </w:p>
    <w:p>
      <w:r>
        <w:t xml:space="preserve">Es gilt deutsches Recht unter Ausschluss des UN-Kaufrechts. Zwingende Verbraucherschutzvorschriften des gewöhnlichen Aufenthalts des Verbrauchers bleiben unberührt.</w:t>
      </w:r>
    </w:p>
    <w:p>
      <w:r>
        <w:t xml:space="preserve">Ausschließlicher Gerichtsstand für Kaufleute und juristische Personen ist der Sitz der LeasNet GmbH; für Verbraucher gilt der gesetzliche Gerichtsstand.</w:t>
      </w:r>
    </w:p>
    <w:p>
      <w:r>
        <w:br w:type="page"/>
      </w:r>
    </w:p>
    <w:p>
      <w:pPr>
        <w:pStyle w:val="DocTitle"/>
      </w:pPr>
      <w:r>
        <w:t xml:space="preserve">CON-WID · Widerrufsbelehrung für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BP-19-01, CO-002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Belehrung entspricht der gesetzlichen Musterbelehrung (Anlage 1 zu Art. 246a EGBGB) und ist an die Besonderheiten der Mietverträge angepasst.</w:t>
      </w:r>
    </w:p>
    <w:p>
      <w:pPr>
        <w:ind w:left="360"/>
      </w:pPr>
      <w:r>
        <w:rPr>
          <w:i/>
          <w:iCs/>
          <w:color w:val="555555"/>
          <w:sz w:val="20"/>
          <w:szCs w:val="20"/>
        </w:rPr>
        <w:t xml:space="preserve">Vor Livegang durch die Kanzlei zu prüfen und ggf. an die konkrete Ausgestaltung anzupassen; insbesondere Beginn der Widerrufsfrist bei Miet-/Dienstleistungsmodellen.</w:t>
      </w:r>
    </w:p>
    <w:p>
      <w:pPr>
        <w:pStyle w:val="Heading1"/>
      </w:pPr>
      <w:r>
        <w:t xml:space="preserve">CON-WID-01 · Widerrufsrecht</w:t>
      </w:r>
    </w:p>
    <w:p>
      <w:pPr>
        <w:pStyle w:val="Heading2"/>
      </w:pPr>
      <w:r>
        <w:t xml:space="preserve">CON-WID-01-01 · Widerrufsfrist</w:t>
      </w:r>
    </w:p>
    <w:p>
      <w:r>
        <w:t xml:space="preserve">Sie haben das Recht, binnen vierzehn Tagen ohne Angabe von Gründen diesen Vertrag zu widerrufen.</w:t>
      </w:r>
    </w:p>
    <w:p>
      <w:r>
        <w:t xml:space="preserve">Die Widerrufsfrist beträgt vierzehn Tage ab dem Tag des Vertragsabschlusses. Bei Mietverträgen, die durch Zustellung eines körperlichen Gegenstands erfüllt werden, beginnt die Widerrufsfrist mit dem Tag, an dem Sie oder ein von Ihnen benannter Dritter, der nicht der Beförderer ist, das Asset in Besitz genommen hat.</w:t>
      </w:r>
    </w:p>
    <w:p>
      <w:pPr>
        <w:pStyle w:val="Heading2"/>
      </w:pPr>
      <w:r>
        <w:t xml:space="preserve">CON-WID-01-02 · Ausübung</w:t>
      </w:r>
    </w:p>
    <w:p>
      <w:r>
        <w:t xml:space="preserve">Um Ihr Widerrufsrecht auszuüben, müssen Sie uns (LeasNet GmbH, [Anschrift], E-Mail: widerruf@miet.net) oder bei Marketplace-Mieten dem jeweiligen Vendor (Kontaktdaten in der Buchungsbestätigung) mittels einer eindeutigen Erklärung (z. B. per Brief oder E-Mail) über Ihren Entschluss, diesen Vertrag zu widerrufen, informieren.</w:t>
      </w:r>
    </w:p>
    <w:p>
      <w:r>
        <w:t xml:space="preserve">Sie können dafür das beigefügte Muster-Widerrufsformular (CON-WID-F) verwenden, das jedoch nicht vorgeschrieben ist.</w:t>
      </w:r>
    </w:p>
    <w:p>
      <w:r>
        <w:t xml:space="preserve">Zur Wahrung der Widerrufsfrist reicht es aus, dass Sie die Mitteilung über die Ausübung des Widerrufsrechts vor Ablauf der Widerrufsfrist absenden.</w:t>
      </w:r>
    </w:p>
    <w:p>
      <w:pPr>
        <w:pStyle w:val="Heading1"/>
      </w:pPr>
      <w:r>
        <w:t xml:space="preserve">CON-WID-02 · Folgen des Widerrufs</w:t>
      </w:r>
    </w:p>
    <w:p>
      <w:pPr>
        <w:pStyle w:val="Heading2"/>
      </w:pPr>
      <w:r>
        <w:t xml:space="preserve">CON-WID-02-01 · Rückgewähr</w:t>
      </w:r>
    </w:p>
    <w:p>
      <w: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r>
        <w:t xml:space="preserve">Für diese Rückzahlung verwenden wir dasselbe Zahlungsmittel, das Sie bei der ursprünglichen Transaktion eingesetzt haben, es sei denn, mit Ihnen wurde ausdrücklich etwas anderes vereinbart; in keinem Fall werden Ihnen wegen dieser Rückzahlung Entgelte berechnet.</w:t>
      </w:r>
    </w:p>
    <w:p>
      <w:pPr>
        <w:pStyle w:val="Heading2"/>
      </w:pPr>
      <w:r>
        <w:t xml:space="preserve">CON-WID-02-02 · Rückgabe des Assets und Wertersatz</w:t>
      </w:r>
    </w:p>
    <w:p>
      <w:r>
        <w:t xml:space="preserve">Sie haben das Asset unverzüglich und in jedem Fall spätestens binnen vierzehn Tagen ab dem Tag, an dem Sie uns über den Widerruf dieses Vertrags unterrichten, an uns oder den Vendor zurückzusenden oder zu übergeben. Die Frist ist gewahrt, wenn Sie das Asset vor Ablauf der Frist absenden.</w:t>
      </w:r>
    </w:p>
    <w:p>
      <w:r>
        <w:t xml:space="preserve">Sie tragen die unmittelbaren Kosten der Rücksendung, sofern nicht anders vereinbart.</w:t>
      </w:r>
    </w:p>
    <w:p>
      <w:r>
        <w:t xml:space="preserve">Für einen etwaigen Wertverlust des Assets müssen Sie nur aufkommen, wenn dieser Wertverlust auf einen zur Prüfung der Beschaffenheit, Eigenschaften und Funktionsweise des Assets nicht notwendigen Umgang mit ihm zurückzuführen ist.</w:t>
      </w:r>
    </w:p>
    <w:p>
      <w:r>
        <w:t xml:space="preserve">Haben Sie verlangt, dass die Nutzung während der Widerrufsfrist beginnen soll, so haben Sie uns einen angemessenen Betrag zu zahlen, der dem Anteil der bis zum Widerruf bereits erbrachten Nutzung im Verhältnis zum Gesamtumfang der vertraglich vereinbarten Nutzung entspricht.</w:t>
      </w:r>
    </w:p>
    <w:p>
      <w:pPr>
        <w:pStyle w:val="Heading1"/>
      </w:pPr>
      <w:r>
        <w:t xml:space="preserve">CON-WID-03 · Ausschluss und Erlöschen</w:t>
      </w:r>
    </w:p>
    <w:p>
      <w:pPr>
        <w:pStyle w:val="Heading2"/>
      </w:pPr>
      <w:r>
        <w:t xml:space="preserve">CON-WID-03-01 · Erlöschen bei vollständig erbrachten Dienstleistungen</w:t>
      </w:r>
    </w:p>
    <w:p>
      <w:r>
        <w:t xml:space="preserve">Das Widerrufsrecht erlischt bei einem Vertrag zur Erbringung von Dienstleistungen, wenn wir die Dienstleistung vollständig erbracht haben und mit der Ausführung erst begonnen haben, nachdem Sie dazu Ihre ausdrückliche Zustimmung gegeben und gleichzeitig Ihre Kenntnis davon bestätigt haben, dass Sie Ihr Widerrufsrecht bei vollständiger Vertragserfüllung durch uns verlieren.</w:t>
      </w:r>
    </w:p>
    <w:p>
      <w:pPr>
        <w:ind w:left="360"/>
      </w:pPr>
      <w:r>
        <w:rPr>
          <w:i/>
          <w:iCs/>
          <w:color w:val="555555"/>
          <w:sz w:val="20"/>
          <w:szCs w:val="20"/>
        </w:rPr>
        <w:t xml:space="preserve">Anwendbarkeit auf die konkrete Mietkonstruktion bedarf anwaltlicher Prüfung.</w:t>
      </w:r>
    </w:p>
    <w:p>
      <w:r>
        <w:br w:type="page"/>
      </w:r>
    </w:p>
    <w:p>
      <w:pPr>
        <w:pStyle w:val="DocTitle"/>
      </w:pPr>
      <w:r>
        <w:t xml:space="preserve">CON-WID-F · Muster-Widerrufsformular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CON-WID-F</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CON-WID-F</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CO-004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Wenn Sie den Vertrag widerrufen wollen, füllen Sie bitte dieses Formular aus und senden Sie es zurück.</w:t>
      </w:r>
    </w:p>
    <w:p>
      <w:pPr>
        <w:pStyle w:val="Heading1"/>
      </w:pPr>
      <w:r>
        <w:t xml:space="preserve">CON-WID-F-01 · Formular</w:t>
      </w:r>
    </w:p>
    <w:p>
      <w:pPr>
        <w:pStyle w:val="Heading2"/>
      </w:pPr>
      <w:r>
        <w:t xml:space="preserve">CON-WID-F-01-01 · Text zum Ausfüllen</w:t>
      </w:r>
    </w:p>
    <w:p>
      <w:r>
        <w:t xml:space="preserve">An: [LeasNet GmbH, Anschrift, E-Mail: widerruf@miet.net] · bei Marketplace: an den in der Buchungsbestätigung genannten Vendor</w:t>
      </w:r>
    </w:p>
    <w:p>
      <w:r>
        <w:t xml:space="preserve">Hiermit widerrufe(n) ich/wir (*) den von mir/uns (*) abgeschlossenen Vertrag über die Miete des folgenden Assets:</w:t>
      </w:r>
    </w:p>
    <w:p>
      <w:r>
        <w:t xml:space="preserve">Miet-ID / Bestellnummer: __________________________</w:t>
      </w:r>
    </w:p>
    <w:p>
      <w:r>
        <w:t xml:space="preserve">Bezeichnung des Assets: __________________________</w:t>
      </w:r>
    </w:p>
    <w:p>
      <w:r>
        <w:t xml:space="preserve">Bestellt am (*) / erhalten am (*): __________________________</w:t>
      </w:r>
    </w:p>
    <w:p>
      <w:r>
        <w:t xml:space="preserve">Name des/der Verbraucher(s): __________________________</w:t>
      </w:r>
    </w:p>
    <w:p>
      <w:r>
        <w:t xml:space="preserve">Anschrift des/der Verbraucher(s): __________________________</w:t>
      </w:r>
    </w:p>
    <w:p>
      <w:r>
        <w:t xml:space="preserve">Unterschrift des/der Verbraucher(s) (nur bei Mitteilung auf Papier): __________________________</w:t>
      </w:r>
    </w:p>
    <w:p>
      <w:r>
        <w:t xml:space="preserve">Datum: __________________________</w:t>
      </w:r>
    </w:p>
    <w:p>
      <w:r>
        <w:t xml:space="preserve">(*) Unzutreffendes streichen.</w:t>
      </w:r>
    </w:p>
    <w:p>
      <w:r>
        <w:br w:type="page"/>
      </w:r>
    </w:p>
    <w:p>
      <w:pPr>
        <w:pStyle w:val="DocTitle"/>
      </w:pPr>
      <w:r>
        <w:t xml:space="preserve">CON-MV · Mietvertrag-Vorlage (Einzelmiete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CON-MV</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CON-MV</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BP-08, BP-16, BP-24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Vorlage wird bei jedem Vertragsschluss automatisch mit den konkreten Vertragsdaten befüllt und als PDF im Kundenkonto abgelegt.</w:t>
      </w:r>
    </w:p>
    <w:p>
      <w:pPr>
        <w:pStyle w:val="Heading1"/>
      </w:pPr>
      <w:r>
        <w:t xml:space="preserve">CON-MV-01 · Vertragskopf</w:t>
      </w:r>
    </w:p>
    <w:p>
      <w:pPr>
        <w:pStyle w:val="Heading2"/>
      </w:pPr>
      <w:r>
        <w:t xml:space="preserve">CON-MV-01-01 · Parteien</w:t>
      </w:r>
    </w:p>
    <w:p>
      <w:r>
        <w:t xml:space="preserve">Vermieter: {{Vertragspartner}} (LeasNet GmbH oder Vendor nach RM-003)</w:t>
      </w:r>
    </w:p>
    <w:p>
      <w:r>
        <w:t xml:space="preserve">Mieter: {{Kunden-Name, Anschrift}}</w:t>
      </w:r>
    </w:p>
    <w:p>
      <w:r>
        <w:t xml:space="preserve">Miet-ID: {{BK-004}}</w:t>
      </w:r>
    </w:p>
    <w:p>
      <w:r>
        <w:t xml:space="preserve">Vermittlungshinweis (nur bei Marketplace): „Der Vertrag kommt zwischen Mieter und Vendor zustande. Die LeasNet GmbH wirkt lediglich als Vermittlerin, Zahlungs- und Kautionsverwalterin.“</w:t>
      </w:r>
    </w:p>
    <w:p>
      <w:pPr>
        <w:pStyle w:val="Heading1"/>
      </w:pPr>
      <w:r>
        <w:t xml:space="preserve">CON-MV-02 · Mietgegenstand</w:t>
      </w:r>
    </w:p>
    <w:p>
      <w:pPr>
        <w:pStyle w:val="Heading2"/>
      </w:pPr>
      <w:r>
        <w:t xml:space="preserve">CON-MV-02-01 · Asset und Zubehör</w:t>
      </w:r>
    </w:p>
    <w:p>
      <w:r>
        <w:t xml:space="preserve">Produkt: {{Produkt-Bezeichnung}}</w:t>
      </w:r>
    </w:p>
    <w:p>
      <w:r>
        <w:t xml:space="preserve">Asset-ID: {{PR-004}}, ggf. Seriennummer: {{PR-005}}</w:t>
      </w:r>
    </w:p>
    <w:p>
      <w:r>
        <w:t xml:space="preserve">Zubehörumfang: {{PR-007}}</w:t>
      </w:r>
    </w:p>
    <w:p>
      <w:r>
        <w:t xml:space="preserve">Ausgangszustand: {{PR-010}} (Fotos beigefügt)</w:t>
      </w:r>
    </w:p>
    <w:p>
      <w:pPr>
        <w:pStyle w:val="Heading1"/>
      </w:pPr>
      <w:r>
        <w:t xml:space="preserve">CON-MV-03 · Miet-Zeitraum und Übergabe</w:t>
      </w:r>
    </w:p>
    <w:p>
      <w:pPr>
        <w:pStyle w:val="Heading2"/>
      </w:pPr>
      <w:r>
        <w:t xml:space="preserve">CON-MV-03-01 · Zeitraum</w:t>
      </w:r>
    </w:p>
    <w:p>
      <w:r>
        <w:t xml:space="preserve">Mietbeginn: {{BK-009}}</w:t>
      </w:r>
    </w:p>
    <w:p>
      <w:r>
        <w:t xml:space="preserve">Mietende: {{BK-010}}</w:t>
      </w:r>
    </w:p>
    <w:p>
      <w:r>
        <w:t xml:space="preserve">Übergabe: {{BK-006/BK-007}} — {{Adresse/Warehouse}}</w:t>
      </w:r>
    </w:p>
    <w:p>
      <w:r>
        <w:t xml:space="preserve">Rückgabefenster: {{BK-012}}, Kulanzfrist: {{BK-013}}</w:t>
      </w:r>
    </w:p>
    <w:p>
      <w:pPr>
        <w:pStyle w:val="Heading1"/>
      </w:pPr>
      <w:r>
        <w:t xml:space="preserve">CON-MV-04 · Preis, Kaution, Schutzpaket</w:t>
      </w:r>
    </w:p>
    <w:p>
      <w:pPr>
        <w:pStyle w:val="Heading2"/>
      </w:pPr>
      <w:r>
        <w:t xml:space="preserve">CON-MV-04-01 · Konditionen</w:t>
      </w:r>
    </w:p>
    <w:p>
      <w:r>
        <w:t xml:space="preserve">Mietpreis (brutto): {{PY-001}}</w:t>
      </w:r>
    </w:p>
    <w:p>
      <w:r>
        <w:t xml:space="preserve">Nebenkosten: {{PY-002}}</w:t>
      </w:r>
    </w:p>
    <w:p>
      <w:r>
        <w:t xml:space="preserve">Servicepauschale: {{PY-003}}</w:t>
      </w:r>
    </w:p>
    <w:p>
      <w:r>
        <w:t xml:space="preserve">Gesamtbetrag: {{PY-004}}</w:t>
      </w:r>
    </w:p>
    <w:p>
      <w:r>
        <w:t xml:space="preserve">Zahlungsmittel: {{PY-005}}</w:t>
      </w:r>
    </w:p>
    <w:p>
      <w:r>
        <w:t xml:space="preserve">Kaution: {{DP-001}} — Art: {{DP-002}}, Verwahrer: LeasNet GmbH (DP-004)</w:t>
      </w:r>
    </w:p>
    <w:p>
      <w:r>
        <w:t xml:space="preserve">Schutzpaket: {{Basic/Protect+/Premium}}</w:t>
      </w:r>
    </w:p>
    <w:p>
      <w:pPr>
        <w:pStyle w:val="Heading1"/>
      </w:pPr>
      <w:r>
        <w:t xml:space="preserve">CON-MV-05 · Einbezogene Bedingungen</w:t>
      </w:r>
    </w:p>
    <w:p>
      <w:pPr>
        <w:pStyle w:val="Heading2"/>
      </w:pPr>
      <w:r>
        <w:t xml:space="preserve">CON-MV-05-01 · Verweis</w:t>
      </w:r>
    </w:p>
    <w:p>
      <w:r>
        <w:t xml:space="preserve">Es gelten die Allgemeinen Verbraucher-Mietbedingungen (CON-AGB) in der zum Vertragsschluss aktuellen Fassung, die Widerrufsbelehrung (CON-WID), die Deposit Terms (CON-DEP), die Payment Terms (CON-PAY), die Damage Terms (CON-DAM), die Return Policy (CON-RET), die Delivery Policy (CON-DEL), die Protection Terms (CON-PRO) sowie die Datenschutzerklärung (PLT-DS).</w:t>
      </w:r>
    </w:p>
    <w:p>
      <w:r>
        <w:t xml:space="preserve">Die eingebundenen Fassungen sind mit Version und Effective Date (CN-002) am Ende dieses Dokuments protokolliert.</w:t>
      </w:r>
    </w:p>
    <w:p>
      <w:r>
        <w:br w:type="page"/>
      </w:r>
    </w:p>
    <w:p>
      <w:pPr>
        <w:pStyle w:val="DocTitle"/>
      </w:pPr>
      <w:r>
        <w:t xml:space="preserve">CON-PRO · Protection Terms — Basic, Protect+, Premium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CON-PRO</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CON-PRO</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BP-20, BP-19-02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 Protection Terms regeln die drei Schutzpaket-Stufen. Sie ergänzen die Damage Terms (CON-DAM) und die Deposit Terms (CON-DEP). Eine endgültige aufsichtsrechtliche Einordnung erfolgt vor Livegang (BP-19-02).</w:t>
      </w:r>
    </w:p>
    <w:p>
      <w:pPr>
        <w:ind w:left="360"/>
      </w:pPr>
      <w:r>
        <w:rPr>
          <w:i/>
          <w:iCs/>
          <w:color w:val="555555"/>
          <w:sz w:val="20"/>
          <w:szCs w:val="20"/>
        </w:rPr>
        <w:t xml:space="preserve">Die konkreten Zahlen (Selbstbeteiligungen, Preise, Deckungsgrenzen) werden nach betriebswirtschaftlicher und anwaltlicher Prüfung festgelegt.</w:t>
      </w:r>
    </w:p>
    <w:p>
      <w:pPr>
        <w:pStyle w:val="Heading1"/>
      </w:pPr>
      <w:r>
        <w:t xml:space="preserve">CON-PRO-01 · Basic</w:t>
      </w:r>
    </w:p>
    <w:p>
      <w:pPr>
        <w:pStyle w:val="Heading2"/>
      </w:pPr>
      <w:r>
        <w:t xml:space="preserve">CON-PRO-01-01 · Umfang</w:t>
      </w:r>
    </w:p>
    <w:p>
      <w:r>
        <w:t xml:space="preserve">Standardmäßig enthalten. Deckt gewöhnliche Abnutzung (DM-003) ab. Keine Haftungsbegrenzung darüber hinaus; die gesetzlichen Regelungen bleiben unberührt.</w:t>
      </w:r>
    </w:p>
    <w:p>
      <w:pPr>
        <w:pStyle w:val="Heading1"/>
      </w:pPr>
      <w:r>
        <w:t xml:space="preserve">CON-PRO-02 · Protect+</w:t>
      </w:r>
    </w:p>
    <w:p>
      <w:pPr>
        <w:pStyle w:val="Heading2"/>
      </w:pPr>
      <w:r>
        <w:t xml:space="preserve">CON-PRO-02-01 · Umfang</w:t>
      </w:r>
    </w:p>
    <w:p>
      <w:r>
        <w:t xml:space="preserve">Optionales Zusatzpaket. Reduziert die Selbstbeteiligung (DM-018) für kosmetische (DM-004) und leichte technische Schäden (DM-005) auf {{X %}} des Wiederbeschaffungswerts, jedoch höchstens {{Y EUR}} je Schadensfall.</w:t>
      </w:r>
    </w:p>
    <w:p>
      <w:r>
        <w:t xml:space="preserve">Priorisierte Fallbearbeitung; Zusagen zu Reaktionszeiten ergeben sich aus der Supportregelung (CON-CMP).</w:t>
      </w:r>
    </w:p>
    <w:p>
      <w:pPr>
        <w:pStyle w:val="Heading2"/>
      </w:pPr>
      <w:r>
        <w:t xml:space="preserve">CON-PRO-02-02 · Ausschlüsse</w:t>
      </w:r>
    </w:p>
    <w:p>
      <w:pPr>
        <w:pStyle w:val="ListParagraph"/>
        <w:numPr>
          <w:ilvl w:val="0"/>
          <w:numId w:val="2"/>
        </w:numPr>
      </w:pPr>
      <w:r>
        <w:t xml:space="preserve">Vorsatz und grobe Fahrlässigkeit.</w:t>
      </w:r>
    </w:p>
    <w:p>
      <w:pPr>
        <w:pStyle w:val="ListParagraph"/>
        <w:numPr>
          <w:ilvl w:val="0"/>
          <w:numId w:val="2"/>
        </w:numPr>
      </w:pPr>
      <w:r>
        <w:t xml:space="preserve">Schäden durch bestimmungswidrigen oder untersagten Einsatz.</w:t>
      </w:r>
    </w:p>
    <w:p>
      <w:pPr>
        <w:pStyle w:val="ListParagraph"/>
        <w:numPr>
          <w:ilvl w:val="0"/>
          <w:numId w:val="2"/>
        </w:numPr>
      </w:pPr>
      <w:r>
        <w:t xml:space="preserve">Diebstahl (DM-008), Totalverlust (DM-007) und Nichtrückgabe (BK-015) sind nicht abgedeckt.</w:t>
      </w:r>
    </w:p>
    <w:p>
      <w:pPr>
        <w:pStyle w:val="Heading1"/>
      </w:pPr>
      <w:r>
        <w:t xml:space="preserve">CON-PRO-03 · Premium</w:t>
      </w:r>
    </w:p>
    <w:p>
      <w:pPr>
        <w:pStyle w:val="Heading2"/>
      </w:pPr>
      <w:r>
        <w:t xml:space="preserve">CON-PRO-03-01 · Umfang</w:t>
      </w:r>
    </w:p>
    <w:p>
      <w:r>
        <w:t xml:space="preserve">Höchststufe. Reduziert die Selbstbeteiligung auf {{X %}} des Wiederbeschaffungswerts, jedoch höchstens {{Y EUR}}. Express-Ersatz nach Verfügbarkeit. Priorisierter Support.</w:t>
      </w:r>
    </w:p>
    <w:p>
      <w:r>
        <w:t xml:space="preserve">Optional: Zusatzbaustein Diebstahl-Absicherung (DM-008) gegen weiteres Entgelt, unter Voraussetzungen im Vertragsangebot.</w:t>
      </w:r>
    </w:p>
    <w:p>
      <w:pPr>
        <w:pStyle w:val="Heading2"/>
      </w:pPr>
      <w:r>
        <w:t xml:space="preserve">CON-PRO-03-02 · Ausschlüsse</w:t>
      </w:r>
    </w:p>
    <w:p>
      <w:pPr>
        <w:pStyle w:val="ListParagraph"/>
        <w:numPr>
          <w:ilvl w:val="0"/>
          <w:numId w:val="2"/>
        </w:numPr>
      </w:pPr>
      <w:r>
        <w:t xml:space="preserve">Vorsatz und grobe Fahrlässigkeit.</w:t>
      </w:r>
    </w:p>
    <w:p>
      <w:pPr>
        <w:pStyle w:val="ListParagraph"/>
        <w:numPr>
          <w:ilvl w:val="0"/>
          <w:numId w:val="2"/>
        </w:numPr>
      </w:pPr>
      <w:r>
        <w:t xml:space="preserve">Schäden durch bestimmungswidrigen oder untersagten Einsatz.</w:t>
      </w:r>
    </w:p>
    <w:p>
      <w:pPr>
        <w:pStyle w:val="ListParagraph"/>
        <w:numPr>
          <w:ilvl w:val="0"/>
          <w:numId w:val="2"/>
        </w:numPr>
      </w:pPr>
      <w:r>
        <w:t xml:space="preserve">Kernkraft, Krieg, hoheitliche Beschlagnahme und ähnliche außergewöhnliche Ereignisse.</w:t>
      </w:r>
    </w:p>
    <w:p>
      <w:pPr>
        <w:pStyle w:val="Heading1"/>
      </w:pPr>
      <w:r>
        <w:t xml:space="preserve">CON-PRO-04 · Allgemeine Bedingungen</w:t>
      </w:r>
    </w:p>
    <w:p>
      <w:pPr>
        <w:pStyle w:val="Heading2"/>
      </w:pPr>
      <w:r>
        <w:t xml:space="preserve">CON-PRO-04-01 · Beginn und Ende</w:t>
      </w:r>
    </w:p>
    <w:p>
      <w:r>
        <w:t xml:space="preserve">Der Schutz beginnt mit Übergabe (WH-018) und endet mit dem Wareneingang (WH-003) bei Rückgabe.</w:t>
      </w:r>
    </w:p>
    <w:p>
      <w:pPr>
        <w:pStyle w:val="Heading2"/>
      </w:pPr>
      <w:r>
        <w:t xml:space="preserve">CON-PRO-04-02 · Obliegenheiten</w:t>
      </w:r>
    </w:p>
    <w:p>
      <w:r>
        <w:t xml:space="preserve">Der Kunde meldet Schadens- und Verlustereignisse unverzüglich, sichert Beweise (DM-019), gibt polizeiliche Anzeige (bei Diebstahl) und unterstützt bei der Aufklärung.</w:t>
      </w:r>
    </w:p>
    <w:p>
      <w:r>
        <w:br w:type="page"/>
      </w:r>
    </w:p>
    <w:p>
      <w:pPr>
        <w:pStyle w:val="DocTitle"/>
      </w:pPr>
      <w:r>
        <w:t xml:space="preserve">CON-DEP · Kautionsbedingungen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die Kaution (DP-001) im Verbraucherbereich, unabhängig davon, ob es sich um LeasNet Direct oder Marketplace handelt. Kautionsverwahrerin ist stets die LeasNet GmbH.</w:t>
      </w:r>
    </w:p>
    <w:p>
      <w:pPr>
        <w:pStyle w:val="Heading1"/>
      </w:pPr>
      <w:r>
        <w:t xml:space="preserve">CON-DEP-01 · Kautionshöhe und -art</w:t>
      </w:r>
    </w:p>
    <w:p>
      <w:pPr>
        <w:pStyle w:val="Heading2"/>
      </w:pPr>
      <w:r>
        <w:t xml:space="preserve">CON-DEP-01-01 · Höhe</w:t>
      </w:r>
    </w:p>
    <w:p>
      <w:r>
        <w:t xml:space="preserve">Die Kautionshöhe (DP-003) wird individuell je Miete festgelegt und richtet sich nach Wiederbeschaffungswert, Risikoprofil (RK-001) und gewähltem Schutzpaket. Sie ist im Warenkorb und in der Buchungsbestätigung ausgewiesen.</w:t>
      </w:r>
    </w:p>
    <w:p>
      <w:pPr>
        <w:pStyle w:val="Heading2"/>
      </w:pPr>
      <w:r>
        <w:t xml:space="preserve">CON-DEP-01-02 · Art</w:t>
      </w:r>
    </w:p>
    <w:p>
      <w:r>
        <w:t xml:space="preserve">Die Kaution wird bevorzugt als Vorautorisierung (PY-006) auf einer Karte reserviert. Alternative Ausgestaltungen (Zahlungsblockierung, Einzugsleistung) werden dem Kunden vor Vertragsschluss transparent gemacht (DP-002).</w:t>
      </w:r>
    </w:p>
    <w:p>
      <w:pPr>
        <w:pStyle w:val="Heading1"/>
      </w:pPr>
      <w:r>
        <w:t xml:space="preserve">CON-DEP-02 · Verwahrung</w:t>
      </w:r>
    </w:p>
    <w:p>
      <w:pPr>
        <w:pStyle w:val="Heading2"/>
      </w:pPr>
      <w:r>
        <w:t xml:space="preserve">CON-DEP-02-01 · Verwahrer</w:t>
      </w:r>
    </w:p>
    <w:p>
      <w:r>
        <w:t xml:space="preserve">Die LeasNet GmbH verwahrt die Kaution im Namen des jeweiligen Vermieters (DP-004). Auch bei Marketplace-Mieten wird die Kaution niemals direkt an den Vendor ausgezahlt.</w:t>
      </w:r>
    </w:p>
    <w:p>
      <w:pPr>
        <w:pStyle w:val="Heading1"/>
      </w:pPr>
      <w:r>
        <w:t xml:space="preserve">CON-DEP-03 · Freigabe und Einbehalt</w:t>
      </w:r>
    </w:p>
    <w:p>
      <w:pPr>
        <w:pStyle w:val="Heading2"/>
      </w:pPr>
      <w:r>
        <w:t xml:space="preserve">CON-DEP-03-01 · Freigabe</w:t>
      </w:r>
    </w:p>
    <w:p>
      <w:r>
        <w:t xml:space="preserve">Nach ordnungsgemäßer Rückgabe und Inspektion (DM-013) wird die Kaution innerhalb der Kautionsfreigabefrist (DP-007), spätestens binnen {{X}} Werktagen, freigegeben (DP-005).</w:t>
      </w:r>
    </w:p>
    <w:p>
      <w:pPr>
        <w:pStyle w:val="Heading2"/>
      </w:pPr>
      <w:r>
        <w:t xml:space="preserve">CON-DEP-03-02 · Einbehalt</w:t>
      </w:r>
    </w:p>
    <w:p>
      <w:r>
        <w:t xml:space="preserve">Ein anteiliger Einbehalt (DP-006) erfolgt nur für vertraglich begründete Ansprüche (Schaden, Verlust, verspätete Rückgabe). Grundlage ist der Schadensbericht (DM-024). Der Kunde erhält vor endgültigem Einbehalt eine begründete Aufstellung und die Möglichkeit zur Stellungnahme.</w:t>
      </w:r>
    </w:p>
    <w:p>
      <w:pPr>
        <w:pStyle w:val="Heading2"/>
      </w:pPr>
      <w:r>
        <w:t xml:space="preserve">CON-DEP-03-03 · Widerspruch</w:t>
      </w:r>
    </w:p>
    <w:p>
      <w:r>
        <w:t xml:space="preserve">Widersprüche des Kunden (DP-008) werden im Streitbeilegungsprozess (CON-DIS) behandelt. Bis zur Klärung wird der strittige Betrag zurückgestellt; unstrittige Anteile werden vorab freigegeben.</w:t>
      </w:r>
    </w:p>
    <w:p>
      <w:r>
        <w:br w:type="page"/>
      </w:r>
    </w:p>
    <w:p>
      <w:pPr>
        <w:pStyle w:val="DocTitle"/>
      </w:pPr>
      <w:r>
        <w:t xml:space="preserve">CON-PAY · Zahlungsbedingungen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CON-PAY</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CON-PAY</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BP-09, BP-17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Zahlungen, Rechnungen, Erstattungen und Zahlungsstörungen im Verbraucherbereich.</w:t>
      </w:r>
    </w:p>
    <w:p>
      <w:pPr>
        <w:pStyle w:val="Heading1"/>
      </w:pPr>
      <w:r>
        <w:t xml:space="preserve">CON-PAY-01 · Zahlungsmittel und Ablauf</w:t>
      </w:r>
    </w:p>
    <w:p>
      <w:pPr>
        <w:pStyle w:val="Heading2"/>
      </w:pPr>
      <w:r>
        <w:t xml:space="preserve">CON-PAY-01-01 · Zahlungsmittel</w:t>
      </w:r>
    </w:p>
    <w:p>
      <w:r>
        <w:t xml:space="preserve">Verfügbare Zahlungsmittel (PY-005) werden im Warenkorb angezeigt. Verfügbarkeit kann abhängig von Risikoprofil, Betrag und Zahlungsdienstleister eingeschränkt sein.</w:t>
      </w:r>
    </w:p>
    <w:p>
      <w:pPr>
        <w:pStyle w:val="Heading2"/>
      </w:pPr>
      <w:r>
        <w:t xml:space="preserve">CON-PAY-01-02 · Ablauf</w:t>
      </w:r>
    </w:p>
    <w:p>
      <w:r>
        <w:t xml:space="preserve">Bei Bestellabschluss erfolgt eine Vorautorisierung (PY-006). Der Einzug (PY-007) erfolgt zu dem im Vertrag ausgewiesenen Zeitpunkt (z. B. Warenausgang oder Mietbeginn).</w:t>
      </w:r>
    </w:p>
    <w:p>
      <w:pPr>
        <w:pStyle w:val="Heading1"/>
      </w:pPr>
      <w:r>
        <w:t xml:space="preserve">CON-PAY-02 · Rechnung</w:t>
      </w:r>
    </w:p>
    <w:p>
      <w:pPr>
        <w:pStyle w:val="Heading2"/>
      </w:pPr>
      <w:r>
        <w:t xml:space="preserve">CON-PAY-02-01 · Bereitstellung</w:t>
      </w:r>
    </w:p>
    <w:p>
      <w:r>
        <w:t xml:space="preserve">Rechnungen (PY-033) werden elektronisch bereitgestellt und im Kundenkonto dauerhaft abrufbar gemacht.</w:t>
      </w:r>
    </w:p>
    <w:p>
      <w:pPr>
        <w:pStyle w:val="Heading1"/>
      </w:pPr>
      <w:r>
        <w:t xml:space="preserve">CON-PAY-03 · Erstattungen</w:t>
      </w:r>
    </w:p>
    <w:p>
      <w:pPr>
        <w:pStyle w:val="Heading2"/>
      </w:pPr>
      <w:r>
        <w:t xml:space="preserve">CON-PAY-03-01 · Rückerstattung</w:t>
      </w:r>
    </w:p>
    <w:p>
      <w:r>
        <w:t xml:space="preserve">Rückerstattungen (PY-009) erfolgen grundsätzlich auf das ursprünglich verwendete Zahlungsmittel. Teilerstattungen (PY-010) werden mit Grund und Berechnung dokumentiert.</w:t>
      </w:r>
    </w:p>
    <w:p>
      <w:pPr>
        <w:pStyle w:val="Heading1"/>
      </w:pPr>
      <w:r>
        <w:t xml:space="preserve">CON-PAY-04 · Zahlungsstörungen</w:t>
      </w:r>
    </w:p>
    <w:p>
      <w:pPr>
        <w:pStyle w:val="Heading2"/>
      </w:pPr>
      <w:r>
        <w:t xml:space="preserve">CON-PAY-04-01 · Verzug</w:t>
      </w:r>
    </w:p>
    <w:p>
      <w:r>
        <w:t xml:space="preserve">Bei Zahlungsverzug (PY-013) fallen die gesetzlichen Verzugszinsen (§ 288 BGB) an. Mahnungen (PY-014) werden dem Kunden zugestellt.</w:t>
      </w:r>
    </w:p>
    <w:p>
      <w:pPr>
        <w:pStyle w:val="Heading2"/>
      </w:pPr>
      <w:r>
        <w:t xml:space="preserve">CON-PAY-04-02 · Chargeback und SEPA-Rückbuchung</w:t>
      </w:r>
    </w:p>
    <w:p>
      <w:r>
        <w:t xml:space="preserve">Ein Chargeback (PY-011) oder eine SEPA-Rückbuchung (PY-012) berechtigt zur Berechnung eines angemessenen Bearbeitungsentgelts, soweit nicht der Kunde nachweist, dass die Rückbuchung ohne sein Verschulden erfolgte.</w:t>
      </w:r>
    </w:p>
    <w:p>
      <w:r>
        <w:br w:type="page"/>
      </w:r>
    </w:p>
    <w:p>
      <w:pPr>
        <w:pStyle w:val="DocTitle"/>
      </w:pPr>
      <w:r>
        <w:t xml:space="preserve">CON-DEL · Liefer- und Übergabebedingungen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CON-DEL</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CON-DEL</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BP-08, BP-12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Regeln beschreiben die Übergabe des Assets an den Kunden, den Übergang der Gefahrtragung und die Rechte bei Lieferstörungen.</w:t>
      </w:r>
    </w:p>
    <w:p>
      <w:pPr>
        <w:pStyle w:val="Heading1"/>
      </w:pPr>
      <w:r>
        <w:t xml:space="preserve">CON-DEL-01 · Übergabewege</w:t>
      </w:r>
    </w:p>
    <w:p>
      <w:pPr>
        <w:pStyle w:val="Heading2"/>
      </w:pPr>
      <w:r>
        <w:t xml:space="preserve">CON-DEL-01-01 · Zustellung und Abholung</w:t>
      </w:r>
    </w:p>
    <w:p>
      <w:r>
        <w:t xml:space="preserve">Übergabe erfolgt durch Zustellung (BK-008) oder Abholung (BK-006). Die verfügbaren Optionen und Preise werden im Warenkorb angezeigt.</w:t>
      </w:r>
    </w:p>
    <w:p>
      <w:pPr>
        <w:pStyle w:val="Heading1"/>
      </w:pPr>
      <w:r>
        <w:t xml:space="preserve">CON-DEL-02 · Übergabezeitpunkt</w:t>
      </w:r>
    </w:p>
    <w:p>
      <w:pPr>
        <w:pStyle w:val="Heading2"/>
      </w:pPr>
      <w:r>
        <w:t xml:space="preserve">CON-DEL-02-01 · Gefahrübergang</w:t>
      </w:r>
    </w:p>
    <w:p>
      <w:r>
        <w:t xml:space="preserve">Mit dem Übergabezeitpunkt (WH-018) geht die Gefahr des zufälligen Untergangs und der zufälligen Verschlechterung auf den Kunden über.</w:t>
      </w:r>
    </w:p>
    <w:p>
      <w:pPr>
        <w:pStyle w:val="Heading1"/>
      </w:pPr>
      <w:r>
        <w:t xml:space="preserve">CON-DEL-03 · Lieferstörungen</w:t>
      </w:r>
    </w:p>
    <w:p>
      <w:pPr>
        <w:pStyle w:val="Heading2"/>
      </w:pPr>
      <w:r>
        <w:t xml:space="preserve">CON-DEL-03-01 · Verzögerungen und Ausfälle</w:t>
      </w:r>
    </w:p>
    <w:p>
      <w:r>
        <w:t xml:space="preserve">Bei Zustellverzögerungen oder Ausfällen wird der Kunde unverzüglich informiert. Ersatzangebote werden — sofern möglich — bereitgestellt.</w:t>
      </w:r>
    </w:p>
    <w:p>
      <w:r>
        <w:t xml:space="preserve">Gesetzliche Rechte des Kunden bleiben unberührt.</w:t>
      </w:r>
    </w:p>
    <w:p>
      <w:r>
        <w:br w:type="page"/>
      </w:r>
    </w:p>
    <w:p>
      <w:pPr>
        <w:pStyle w:val="DocTitle"/>
      </w:pPr>
      <w:r>
        <w:t xml:space="preserve">CON-RET · Rückgaberichtlinie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CON-RET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CON-RET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BP-08, BP-12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regelt die Rückgabe von Assets nach Ablauf der Mietzeit.</w:t>
      </w:r>
    </w:p>
    <w:p>
      <w:pPr>
        <w:pStyle w:val="Heading1"/>
      </w:pPr>
      <w:r>
        <w:t xml:space="preserve">CON-RET-01 · Rückgabewege</w:t>
      </w:r>
    </w:p>
    <w:p>
      <w:pPr>
        <w:pStyle w:val="Heading2"/>
      </w:pPr>
      <w:r>
        <w:t xml:space="preserve">CON-RET-01-01 · Rückversand</w:t>
      </w:r>
    </w:p>
    <w:p>
      <w:r>
        <w:t xml:space="preserve">Bei Zustellung erfolgt die Rückgabe grundsätzlich durch Rückversand mit dem von der Plattform bereitgestellten Versandetikett (WH-015). Der Kunde wählt einen zumutbaren Rückgabeweg innerhalb des Inbound-Fensters (WH-016).</w:t>
      </w:r>
    </w:p>
    <w:p>
      <w:pPr>
        <w:pStyle w:val="Heading2"/>
      </w:pPr>
      <w:r>
        <w:t xml:space="preserve">CON-RET-01-02 · Persönliche Rückgabe</w:t>
      </w:r>
    </w:p>
    <w:p>
      <w:r>
        <w:t xml:space="preserve">An ausgewiesenen Warehouse-Standorten ist eine persönliche Rückgabe möglich.</w:t>
      </w:r>
    </w:p>
    <w:p>
      <w:pPr>
        <w:pStyle w:val="Heading1"/>
      </w:pPr>
      <w:r>
        <w:t xml:space="preserve">CON-RET-02 · Zustand und Zubehör</w:t>
      </w:r>
    </w:p>
    <w:p>
      <w:pPr>
        <w:pStyle w:val="Heading2"/>
      </w:pPr>
      <w:r>
        <w:t xml:space="preserve">CON-RET-02-01 · Vollständigkeit</w:t>
      </w:r>
    </w:p>
    <w:p>
      <w:r>
        <w:t xml:space="preserve">Rückgabe erfolgt vollständig mit dem im Vertrag definierten Zubehör (PR-007) und in geeigneter Verpackung (PR-008). Fehlteile (DM-009) werden nach der Preisliste berechnet.</w:t>
      </w:r>
    </w:p>
    <w:p>
      <w:pPr>
        <w:pStyle w:val="Heading2"/>
      </w:pPr>
      <w:r>
        <w:t xml:space="preserve">CON-RET-02-02 · Reinigung</w:t>
      </w:r>
    </w:p>
    <w:p>
      <w:r>
        <w:t xml:space="preserve">Grobe Reinigung ist Sache des Kunden. Eine über die gewöhnliche Nutzung hinausgehende Verschmutzung kann als Nebenkosten in Rechnung gestellt werden.</w:t>
      </w:r>
    </w:p>
    <w:p>
      <w:pPr>
        <w:pStyle w:val="Heading1"/>
      </w:pPr>
      <w:r>
        <w:t xml:space="preserve">CON-RET-03 · Fristen</w:t>
      </w:r>
    </w:p>
    <w:p>
      <w:pPr>
        <w:pStyle w:val="Heading2"/>
      </w:pPr>
      <w:r>
        <w:t xml:space="preserve">CON-RET-03-01 · Rückgabefenster und Kulanzfrist</w:t>
      </w:r>
    </w:p>
    <w:p>
      <w:r>
        <w:t xml:space="preserve">Rückgabe ist bis zum Mietende (BK-010) innerhalb des Rückgabefensters (BK-012) durchzuführen. Nach Ablauf der Kulanzfrist (BK-013) gelten die Regeln zur verspäteten Rückgabe.</w:t>
      </w:r>
    </w:p>
    <w:p>
      <w:r>
        <w:br w:type="page"/>
      </w:r>
    </w:p>
    <w:p>
      <w:pPr>
        <w:pStyle w:val="DocTitle"/>
      </w:pPr>
      <w:r>
        <w:t xml:space="preserve">CON-DAM · Schadensbedingungen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CON-DAM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CON-DAM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BP-11</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die Behandlung von Schäden am Asset, das dem Kunden zur Miete überlassen wurde.</w:t>
      </w:r>
    </w:p>
    <w:p>
      <w:pPr>
        <w:pStyle w:val="Heading1"/>
      </w:pPr>
      <w:r>
        <w:t xml:space="preserve">CON-DAM-01 · Kategorisierung</w:t>
      </w:r>
    </w:p>
    <w:p>
      <w:pPr>
        <w:pStyle w:val="Heading2"/>
      </w:pPr>
      <w:r>
        <w:t xml:space="preserve">CON-DAM-01-01 · Gewöhnliche Abnutzung</w:t>
      </w:r>
    </w:p>
    <w:p>
      <w:r>
        <w:t xml:space="preserve">Gewöhnliche Abnutzung (DM-003) ist mit dem Mietentgelt abgegolten und wird nicht berechnet.</w:t>
      </w:r>
    </w:p>
    <w:p>
      <w:pPr>
        <w:pStyle w:val="Heading2"/>
      </w:pPr>
      <w:r>
        <w:t xml:space="preserve">CON-DAM-01-02 · Kosmetische Schäden</w:t>
      </w:r>
    </w:p>
    <w:p>
      <w:r>
        <w:t xml:space="preserve">Kosmetische Schäden (DM-004) werden anhand der Zustandsklassen-Bewertung (PR-009) berechnet, soweit sie über die gewöhnliche Abnutzung hinausgehen.</w:t>
      </w:r>
    </w:p>
    <w:p>
      <w:pPr>
        <w:pStyle w:val="Heading2"/>
      </w:pPr>
      <w:r>
        <w:t xml:space="preserve">CON-DAM-01-03 · Technische Schäden und Großschäden</w:t>
      </w:r>
    </w:p>
    <w:p>
      <w:r>
        <w:t xml:space="preserve">Technische Schäden (DM-005) und Großschäden (DM-006) werden nach den tatsächlichen Reparatur- oder Wiederbeschaffungskosten (DM-017) berechnet.</w:t>
      </w:r>
    </w:p>
    <w:p>
      <w:pPr>
        <w:pStyle w:val="Heading2"/>
      </w:pPr>
      <w:r>
        <w:t xml:space="preserve">CON-DAM-01-04 · Totalverlust und Diebstahl</w:t>
      </w:r>
    </w:p>
    <w:p>
      <w:r>
        <w:t xml:space="preserve">Bei Totalverlust (DM-007) oder Diebstahl (DM-008) schuldet der Kunde den Wiederbeschaffungswert abzüglich zumutbarer Rest- und Wiederverwendungserlöse. Bei Diebstahl ist unverzüglich eine polizeiliche Anzeige zu erstatten und der Plattform vorzulegen.</w:t>
      </w:r>
    </w:p>
    <w:p>
      <w:pPr>
        <w:pStyle w:val="Heading1"/>
      </w:pPr>
      <w:r>
        <w:t xml:space="preserve">CON-DAM-02 · Feststellung</w:t>
      </w:r>
    </w:p>
    <w:p>
      <w:pPr>
        <w:pStyle w:val="Heading2"/>
      </w:pPr>
      <w:r>
        <w:t xml:space="preserve">CON-DAM-02-01 · Inspektion</w:t>
      </w:r>
    </w:p>
    <w:p>
      <w:r>
        <w:t xml:space="preserve">Der Zustand wird durch Inspektion (DM-013) mit standardisierten Fotos (DM-020) und Prüfbericht (DM-014) dokumentiert.</w:t>
      </w:r>
    </w:p>
    <w:p>
      <w:pPr>
        <w:pStyle w:val="Heading2"/>
      </w:pPr>
      <w:r>
        <w:t xml:space="preserve">CON-DAM-02-02 · Beweisführung</w:t>
      </w:r>
    </w:p>
    <w:p>
      <w:r>
        <w:t xml:space="preserve">Ohne ausreichende Beweismittel bei Warenausgang gilt der zuletzt dokumentierte Ausgangszustand (PR-010).</w:t>
      </w:r>
    </w:p>
    <w:p>
      <w:pPr>
        <w:pStyle w:val="Heading1"/>
      </w:pPr>
      <w:r>
        <w:t xml:space="preserve">CON-DAM-03 · Kostenberechnung</w:t>
      </w:r>
    </w:p>
    <w:p>
      <w:pPr>
        <w:pStyle w:val="Heading2"/>
      </w:pPr>
      <w:r>
        <w:t xml:space="preserve">CON-DAM-03-01 · Selbstbeteiligung</w:t>
      </w:r>
    </w:p>
    <w:p>
      <w:r>
        <w:t xml:space="preserve">Bei Wahl eines Schutzpakets (CON-PRO) reduziert sich die Kostenbeteiligung nach den dortigen Regelungen.</w:t>
      </w:r>
    </w:p>
    <w:p>
      <w:pPr>
        <w:pStyle w:val="Heading2"/>
      </w:pPr>
      <w:r>
        <w:t xml:space="preserve">CON-DAM-03-02 · Aufstellung</w:t>
      </w:r>
    </w:p>
    <w:p>
      <w:r>
        <w:t xml:space="preserve">Der Kunde erhält eine Kostenaufstellung mit Positionen, Referenzpreisen und ggf. Fotos. Einwände (DM-021) werden im Streitbeilegungsverfahren (CON-DIS) behandelt.</w:t>
      </w:r>
    </w:p>
    <w:p>
      <w:r>
        <w:br w:type="page"/>
      </w:r>
    </w:p>
    <w:p>
      <w:pPr>
        <w:pStyle w:val="DocTitle"/>
      </w:pPr>
      <w:r>
        <w:t xml:space="preserve">CON-SIG · Bedingungen elektronischer Signaturen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CON-SIG</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CON-SIG</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ID-013</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beschreiben die Nutzung elektronischer Signaturen für Verträge und Erklärungen auf der Plattform.</w:t>
      </w:r>
    </w:p>
    <w:p>
      <w:pPr>
        <w:pStyle w:val="Heading1"/>
      </w:pPr>
      <w:r>
        <w:t xml:space="preserve">CON-SIG-01 · Signaturformen</w:t>
      </w:r>
    </w:p>
    <w:p>
      <w:pPr>
        <w:pStyle w:val="Heading2"/>
      </w:pPr>
      <w:r>
        <w:t xml:space="preserve">CON-SIG-01-01 · Anwendbare Form</w:t>
      </w:r>
    </w:p>
    <w:p>
      <w:r>
        <w:t xml:space="preserve">Die Plattform verwendet standardmäßig die fortgeschrittene elektronische Signatur nach eIDAS-Verordnung. Bei gesetzlichem Schriftformerfordernis wird eine qualifizierte elektronische Signatur eingesetzt.</w:t>
      </w:r>
    </w:p>
    <w:p>
      <w:pPr>
        <w:pStyle w:val="Heading1"/>
      </w:pPr>
      <w:r>
        <w:t xml:space="preserve">CON-SIG-02 · Zustimmung des Kunden</w:t>
      </w:r>
    </w:p>
    <w:p>
      <w:pPr>
        <w:pStyle w:val="Heading2"/>
      </w:pPr>
      <w:r>
        <w:t xml:space="preserve">CON-SIG-02-01 · Einwilligung</w:t>
      </w:r>
    </w:p>
    <w:p>
      <w:r>
        <w:t xml:space="preserve">Der Kunde erklärt sich mit dem Einsatz elektronischer Signaturen einverstanden. Ein Anspruch auf physische Vertragsunterzeichnung besteht nicht, es sei denn, das Gesetz schreibt es zwingend vor.</w:t>
      </w:r>
    </w:p>
    <w:p>
      <w:pPr>
        <w:pStyle w:val="Heading1"/>
      </w:pPr>
      <w:r>
        <w:t xml:space="preserve">CON-SIG-03 · Beweiswert und Aufbewahrung</w:t>
      </w:r>
    </w:p>
    <w:p>
      <w:pPr>
        <w:pStyle w:val="Heading2"/>
      </w:pPr>
      <w:r>
        <w:t xml:space="preserve">CON-SIG-03-01 · Nachweis</w:t>
      </w:r>
    </w:p>
    <w:p>
      <w:r>
        <w:t xml:space="preserve">Signaturvorgänge werden mit Zeitstempel, Version und weiteren technischen Merkmalen protokolliert (Consent-Log, DA-015). Der Vertragstext wird als PDF (DO-004) bereitgestellt und archiviert.</w:t>
      </w:r>
    </w:p>
    <w:p>
      <w:r>
        <w:br w:type="page"/>
      </w:r>
    </w:p>
    <w:p>
      <w:pPr>
        <w:pStyle w:val="DocTitle"/>
      </w:pPr>
      <w:r>
        <w:t xml:space="preserve">CON-CMP · Beschwerde- und Streitbeilegungsordnung (Verbraucher)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CON-CMP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CON-CMP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BP-18</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Ordnung beschreibt, wie Beschwerden erhoben und Streitfälle innerhalb der Plattform behandelt werden. Die gesetzlichen Rechte, insbesondere der Zugang zu Gerichten und Verbraucherschlichtungsstellen, bleiben unberührt.</w:t>
      </w:r>
    </w:p>
    <w:p>
      <w:pPr>
        <w:pStyle w:val="Heading1"/>
      </w:pPr>
      <w:r>
        <w:t xml:space="preserve">CON-CMP-01 · Erhebung von Beschwerden</w:t>
      </w:r>
    </w:p>
    <w:p>
      <w:pPr>
        <w:pStyle w:val="Heading2"/>
      </w:pPr>
      <w:r>
        <w:t xml:space="preserve">CON-CMP-01-01 · Kanäle</w:t>
      </w:r>
    </w:p>
    <w:p>
      <w:r>
        <w:t xml:space="preserve">Beschwerden können über die Support-Funktion im Kundenportal, per E-Mail an support@miet.net oder postalisch an die im Impressum (PLT-IMP) genannte Anschrift erhoben werden.</w:t>
      </w:r>
    </w:p>
    <w:p>
      <w:pPr>
        <w:pStyle w:val="Heading2"/>
      </w:pPr>
      <w:r>
        <w:t xml:space="preserve">CON-CMP-01-02 · Fall-ID</w:t>
      </w:r>
    </w:p>
    <w:p>
      <w:r>
        <w:t xml:space="preserve">Jede Beschwerde erhält eine Fall-ID (SU-001) und wird dem Kunden bestätigt.</w:t>
      </w:r>
    </w:p>
    <w:p>
      <w:pPr>
        <w:pStyle w:val="Heading1"/>
      </w:pPr>
      <w:r>
        <w:t xml:space="preserve">CON-CMP-02 · Reaktions- und Bearbeitungszeiten</w:t>
      </w:r>
    </w:p>
    <w:p>
      <w:pPr>
        <w:pStyle w:val="Heading2"/>
      </w:pPr>
      <w:r>
        <w:t xml:space="preserve">CON-CMP-02-01 · SLA (Verbraucher)</w:t>
      </w:r>
    </w:p>
    <w:p>
      <w:r>
        <w:t xml:space="preserve">Reaktionszeit (SU-002): grundsätzlich binnen zwei Werktagen. Bearbeitungszeit (SU-003): grundsätzlich binnen vierzehn Kalendertagen; komplexe Fälle können länger dauern und werden dem Kunden mit Zwischenstand kommuniziert.</w:t>
      </w:r>
    </w:p>
    <w:p>
      <w:pPr>
        <w:pStyle w:val="Heading1"/>
      </w:pPr>
      <w:r>
        <w:t xml:space="preserve">CON-CMP-03 · Streitbeilegungsverfahren</w:t>
      </w:r>
    </w:p>
    <w:p>
      <w:pPr>
        <w:pStyle w:val="Heading2"/>
      </w:pPr>
      <w:r>
        <w:t xml:space="preserve">CON-CMP-03-01 · Interner Prozess</w:t>
      </w:r>
    </w:p>
    <w:p>
      <w:r>
        <w:t xml:space="preserve">Streitfälle (SU-005) werden strukturiert bearbeitet: Sachverhaltsklärung, Anhörung, Beweiswürdigung, Entscheidung mit Begründung.</w:t>
      </w:r>
    </w:p>
    <w:p>
      <w:pPr>
        <w:pStyle w:val="Heading2"/>
      </w:pPr>
      <w:r>
        <w:t xml:space="preserve">CON-CMP-03-02 · Eskalation</w:t>
      </w:r>
    </w:p>
    <w:p>
      <w:r>
        <w:t xml:space="preserve">Ist der Kunde mit der Entscheidung nicht einverstanden, kann er die Eskalation an eine höhere Bearbeitungsebene verlangen (SU-004). Nach Abschluss des internen Verfahrens stehen dem Kunden Verbraucherschlichtungsstellen (SU-006) und die OS-Plattform (SU-007) offen; ergänzend bleibt der Weg zu den staatlichen Gerichten offen.</w:t>
      </w:r>
    </w:p>
    <w:p>
      <w:pPr>
        <w:pStyle w:val="Heading1"/>
      </w:pPr>
      <w:r>
        <w:t xml:space="preserve">CON-CMP-04 · Sicherheitsrelevante Meldungen</w:t>
      </w:r>
    </w:p>
    <w:p>
      <w:pPr>
        <w:pStyle w:val="Heading2"/>
      </w:pPr>
      <w:r>
        <w:t xml:space="preserve">CON-CMP-04-01 · Notfallkontakt</w:t>
      </w:r>
    </w:p>
    <w:p>
      <w:r>
        <w:t xml:space="preserve">Für sicherheitsrelevante Meldungen (Produktsicherheit, Datenschutzvorfall) steht der Notfallkontakt (SU-008) unter security@miet.net bzw. datenschutz@miet.net zur Verfügung.</w:t>
      </w:r>
    </w:p>
    <w:p>
      <w:r>
        <w:br w:type="page"/>
      </w:r>
    </w:p>
    <w:p>
      <w:pPr>
        <w:pStyle w:val="Heading1"/>
      </w:pPr>
      <w:r>
        <w:t xml:space="preserve">Änderungshistorie (Paket)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4700"/>
        <w:gridCol w:w="166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Version</w:t>
            </w:r>
          </w:p>
        </w:tc>
        <w:tc>
          <w:tcPr>
            <w:tcW w:type="dxa" w:w="16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Datum</w:t>
            </w:r>
          </w:p>
        </w:tc>
        <w:tc>
          <w:tcPr>
            <w:tcW w:type="dxa" w:w="47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Änderung</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Autor / Freigabe</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c>
          <w:tcPr>
            <w:tcW w:type="dxa" w:w="16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c>
          <w:tcPr>
            <w:tcW w:type="dxa" w:w="47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Erstversion des Pakets "Consumer-Paket".</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Legal Governance Board (Entwurf)</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LeasNet GmbH · Consumer-Paket v1.0</w:t>
    </w:r>
    <w:r>
      <w:rPr>
        <w:color w:val="888888"/>
        <w:sz w:val="18"/>
        <w:szCs w:val="18"/>
      </w:rPr>
      <w:t xml:space="preserve">	Seite </w:t>
    </w: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88888"/>
        <w:sz w:val="18"/>
        <w:szCs w:val="18"/>
      </w:rPr>
      <w:t xml:space="preserve">LeasNet GmbH · miet.net</w:t>
    </w:r>
    <w:r>
      <w:rPr>
        <w:color w:val="888888"/>
        <w:sz w:val="18"/>
        <w:szCs w:val="18"/>
      </w:rPr>
      <w:t xml:space="preserve">	Consumer-Paket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pPr>
    <w:rPr>
      <w:rFonts w:ascii="Arial" w:cs="Arial" w:eastAsia="Arial" w:hAnsi="Arial"/>
      <w:b/>
      <w:bCs/>
      <w:sz w:val="52"/>
      <w:szCs w:val="52"/>
    </w:rPr>
  </w:style>
  <w:style w:type="paragraph" w:styleId="Subtitle">
    <w:name w:val="Subtitle"/>
    <w:basedOn w:val="Normal"/>
    <w:next w:val="Normal"/>
    <w:qFormat/>
    <w:pPr>
      <w:spacing w:after="240" w:before="0"/>
    </w:pPr>
    <w:rPr>
      <w:rFonts w:ascii="Arial" w:cs="Arial" w:eastAsia="Arial" w:hAnsi="Arial"/>
      <w:color w:val="555555"/>
      <w:sz w:val="26"/>
      <w:szCs w:val="26"/>
    </w:rPr>
  </w:style>
  <w:style w:type="paragraph" w:styleId="DocTitle">
    <w:name w:val="DocTitle"/>
    <w:basedOn w:val="Normal"/>
    <w:next w:val="Normal"/>
    <w:pPr>
      <w:spacing w:after="200" w:before="480"/>
      <w:outlineLvl w:val="0"/>
    </w:pPr>
    <w:rPr>
      <w:rFonts w:ascii="Arial" w:cs="Arial" w:eastAsia="Arial" w:hAnsi="Arial"/>
      <w:b/>
      <w:bCs/>
      <w:color w:val="1A3E75"/>
      <w:sz w:val="40"/>
      <w:szCs w:val="40"/>
    </w:rPr>
  </w:style>
  <w:style w:type="paragraph" w:styleId="Heading1">
    <w:name w:val="Heading 1"/>
    <w:basedOn w:val="Normal"/>
    <w:next w:val="Normal"/>
    <w:qFormat/>
    <w:pPr>
      <w:spacing w:after="160" w:before="320"/>
      <w:outlineLvl w:val="1"/>
    </w:pPr>
    <w:rPr>
      <w:rFonts w:ascii="Arial" w:cs="Arial" w:eastAsia="Arial" w:hAnsi="Arial"/>
      <w:b/>
      <w:bCs/>
      <w:sz w:val="30"/>
      <w:szCs w:val="30"/>
    </w:rPr>
  </w:style>
  <w:style w:type="paragraph" w:styleId="Heading2">
    <w:name w:val="Heading 2"/>
    <w:basedOn w:val="Normal"/>
    <w:next w:val="Normal"/>
    <w:qFormat/>
    <w:pPr>
      <w:spacing w:after="120" w:before="220"/>
      <w:outlineLvl w:val="2"/>
    </w:pPr>
    <w:rPr>
      <w:rFonts w:ascii="Arial" w:cs="Arial" w:eastAsia="Arial" w:hAnsi="Arial"/>
      <w:b/>
      <w:bCs/>
      <w:sz w:val="24"/>
      <w:szCs w:val="24"/>
    </w:rPr>
  </w:style>
  <w:style w:type="paragraph" w:styleId="Heading3">
    <w:name w:val="Heading 3"/>
    <w:basedOn w:val="Normal"/>
    <w:next w:val="Normal"/>
    <w:qFormat/>
    <w:pPr>
      <w:spacing w:after="80" w:before="180"/>
      <w:outlineLvl w:val="3"/>
    </w:pPr>
    <w:rPr>
      <w:rFonts w:ascii="Arial" w:cs="Arial" w:eastAsia="Arial" w:hAnsi="Arial"/>
      <w:b/>
      <w:bCs/>
      <w:sz w:val="22"/>
      <w:szCs w:val="22"/>
    </w:rPr>
  </w:style>
  <w:style w:type="paragraph" w:styleId="Caption">
    <w:name w:val="Caption"/>
    <w:basedOn w:val="Normal"/>
    <w:next w:val="Normal"/>
    <w:pPr>
      <w:spacing w:after="120" w:before="0"/>
    </w:pPr>
    <w:rPr>
      <w:rFonts w:ascii="Arial" w:cs="Arial" w:eastAsia="Arial" w:hAnsi="Arial"/>
      <w:i/>
      <w:iCs/>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Consumer-Paket</dc:title>
  <dc:creator>LeasNet GmbH</dc:creator>
  <cp:lastModifiedBy>Un-named</cp:lastModifiedBy>
  <cp:revision>1</cp:revision>
  <dcterms:created xsi:type="dcterms:W3CDTF">2026-07-17T08:41:00.253Z</dcterms:created>
  <dcterms:modified xsi:type="dcterms:W3CDTF">2026-07-17T08:41:00.253Z</dcterms:modified>
</cp:coreProperties>
</file>

<file path=docProps/custom.xml><?xml version="1.0" encoding="utf-8"?>
<Properties xmlns="http://schemas.openxmlformats.org/officeDocument/2006/custom-properties" xmlns:vt="http://schemas.openxmlformats.org/officeDocument/2006/docPropsVTypes"/>
</file>