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r>
        <w:t xml:space="preserve"/>
      </w:r>
    </w:p>
    <w:p>
      <w:r>
        <w:rPr>
          <w:rFonts w:ascii="Arial" w:cs="Arial" w:eastAsia="Arial" w:hAnsi="Arial"/>
          <w:color w:val="666666"/>
          <w:sz w:val="22"/>
          <w:szCs w:val="22"/>
        </w:rPr>
        <w:t xml:space="preserve">LeasNet GmbH · miet.net</w:t>
      </w:r>
    </w:p>
    <w:p>
      <w:pPr>
        <w:spacing w:after="400"/>
      </w:pPr>
      <w:r>
        <w:rPr>
          <w:rFonts w:ascii="Arial" w:cs="Arial" w:eastAsia="Arial" w:hAnsi="Arial"/>
          <w:b/>
          <w:bCs/>
          <w:color w:val="1A3E75"/>
          <w:sz w:val="22"/>
          <w:szCs w:val="22"/>
        </w:rPr>
        <w:t xml:space="preserve">Iteration 2 · Platform-Paket</w:t>
      </w:r>
    </w:p>
    <w:p>
      <w:pPr>
        <w:pStyle w:val="Title"/>
      </w:pPr>
      <w:r>
        <w:t xml:space="preserve">Platform-Dokumente</w:t>
      </w:r>
    </w:p>
    <w:p>
      <w:pPr>
        <w:pStyle w:val="Subtitle"/>
      </w:pPr>
      <w:r>
        <w:t xml:space="preserve">9 öffentliche und interne Kern-Dokumente der Plattform miet.net</w:t>
      </w:r>
    </w:p>
    <w:p>
      <w:pPr>
        <w:spacing w:before="1200"/>
      </w:pPr>
      <w:r>
        <w:t xml:space="preserve"/>
      </w:r>
    </w:p>
    <w:p>
      <w:r>
        <w:rPr>
          <w:b/>
          <w:bCs/>
        </w:rPr>
        <w:t xml:space="preserve">Version 1.0 · Sprache: Deutsch (kanonisch)</w:t>
      </w:r>
    </w:p>
    <w:p>
      <w:r>
        <w:t xml:space="preserve">Status: Entwurf für anwaltliche Prüfung · Erstellt am: 2026-07-17</w:t>
      </w:r>
    </w:p>
    <w:p>
      <w:r>
        <w:t xml:space="preserve">Owner: Legal Governance Board der LeasNet GmbH</w:t>
      </w:r>
    </w:p>
    <w:p>
      <w:r>
        <w:rPr>
          <w:i/>
          <w:iCs/>
          <w:color w:val="666666"/>
        </w:rPr>
        <w:t xml:space="preserve">Alle nachfolgenden Dokumente verweisen auf den Legal Blueprint (BP) und den Definitions-Katalog (Kategorien PL, RO, PR, BK, RM, PY, DP, DM, WH, ID, BZ, VN, DA, CO, RK, SU, CN, DO). Vor Livegang anwaltliche Freigabe erforderlich.</w:t>
      </w:r>
    </w:p>
    <w:p>
      <w:r>
        <w:br w:type="page"/>
      </w:r>
    </w:p>
    <w:p>
      <w:pPr>
        <w:pStyle w:val="Heading1"/>
      </w:pPr>
      <w:r>
        <w:t xml:space="preserve">Über dieses Paket</w:t>
      </w:r>
    </w:p>
    <w:p>
      <w:r>
        <w:t xml:space="preserve">Dieses Paket bündelt die neun grundlegenden Plattform-Dokumente, die für den Betrieb von miet.net durch die LeasNet GmbH erforderlich sind. Sie richten sich an alle Nutzer und bilden die Grundlage für die spezifischen Consumer-, Business- und Vendor-Dokumente.</w:t>
      </w:r>
    </w:p>
    <w:p>
      <w:r>
        <w:t xml:space="preserve">Jedes Dokument verweist auf den Legal Blueprint (Klausel-IDs BP-XX-YY) und den Definitions-Katalog. Alle Muster-Angaben in eckigen Klammern sind vor Livegang durch die tatsächlichen Angaben zu ersetzen.</w:t>
      </w:r>
    </w:p>
    <w:p>
      <w:pPr>
        <w:pStyle w:val="Heading1"/>
      </w:pPr>
      <w:r>
        <w:t xml:space="preserve">Enthaltene Dokumente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5960"/>
        <w:gridCol w:w="200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ID</w:t>
            </w:r>
          </w:p>
        </w:tc>
        <w:tc>
          <w:tcPr>
            <w:tcW w:type="dxa" w:w="59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Dokument</w:t>
            </w:r>
          </w:p>
        </w:tc>
        <w:tc>
          <w:tcPr>
            <w:tcW w:type="dxa" w:w="2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Adressat</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PLT-IMP</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Impressum</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PLT-DS</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Datenschutzerklärung</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Nutzer, Kunden, Vendor, Bewerber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PLT-COO</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Cookie-Richtlinie</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Website-Besucher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PLT-TERM</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Plattform-Nutzungsbedingungen</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alle Nutzer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PLT-AUP</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Acceptable Use 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alle Nutzer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PLT-COM</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Community Rules</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alle Nutzer, insb. Bewertungen und Kommunikation</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PLT-SEC</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Security 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Kunden, Vendor, Business, Auditoren</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PLT-RDP</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Responsible Disclosure Policy</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 Security-Researcher, Nutzer</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PLT-KYC</w:t>
            </w:r>
          </w:p>
        </w:tc>
        <w:tc>
          <w:tcPr>
            <w:tcW w:type="dxa" w:w="59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KYC- und Identifikationsrichtlinie</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Öffentlich (Kurzfassung) · Intern (Vollfassung)</w:t>
            </w:r>
          </w:p>
        </w:tc>
      </w:tr>
    </w:tbl>
    <w:p>
      <w:r>
        <w:br w:type="page"/>
      </w:r>
    </w:p>
    <w:p>
      <w:pPr>
        <w:pStyle w:val="DocTitle"/>
      </w:pPr>
      <w:r>
        <w:t xml:space="preserve">PLT-IMP · Impressum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PLT-IMP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PLT-IMP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BP-02</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Angaben gemäß § 5 Digitale-Dienste-Gesetz (DDG) und § 18 Medienstaatsvertrag (MStV) für die Plattform miet.net.</w:t>
      </w:r>
    </w:p>
    <w:p>
      <w:pPr>
        <w:pStyle w:val="Heading1"/>
      </w:pPr>
      <w:r>
        <w:t xml:space="preserve">PLT-IMP-01 · Diensteanbieterin</w:t>
      </w:r>
    </w:p>
    <w:p>
      <w:pPr>
        <w:pStyle w:val="Heading2"/>
      </w:pPr>
      <w:r>
        <w:t xml:space="preserve">PLT-IMP-01-01 · Rechtsträger und Anschrift</w:t>
      </w:r>
    </w:p>
    <w:p>
      <w:r>
        <w:t xml:space="preserve">LeasNet GmbH</w:t>
      </w:r>
    </w:p>
    <w:p>
      <w:r>
        <w:t xml:space="preserve">[Straße und Hausnummer]</w:t>
      </w:r>
    </w:p>
    <w:p>
      <w:r>
        <w:t xml:space="preserve">[PLZ Ort], Deutschland</w:t>
      </w:r>
    </w:p>
    <w:p>
      <w:r>
        <w:t xml:space="preserve">Handelsregister: Amtsgericht [Ort], HRB [Nummer]</w:t>
      </w:r>
    </w:p>
    <w:p>
      <w:r>
        <w:t xml:space="preserve">Geschäftsführung: [Name, Name]</w:t>
      </w:r>
    </w:p>
    <w:p>
      <w:r>
        <w:t xml:space="preserve">Umsatzsteuer-Identifikationsnummer nach § 27a UStG: DE[Nummer]</w:t>
      </w:r>
    </w:p>
    <w:p>
      <w:r>
        <w:t xml:space="preserve">Wirtschafts-Identifikationsnummer (soweit erteilt): [W-IdNr.]</w:t>
      </w:r>
    </w:p>
    <w:p>
      <w:pPr>
        <w:ind w:left="360"/>
      </w:pPr>
      <w:r>
        <w:rPr>
          <w:i/>
          <w:iCs/>
          <w:color w:val="555555"/>
          <w:sz w:val="20"/>
          <w:szCs w:val="20"/>
        </w:rPr>
        <w:t xml:space="preserve">Vor Livegang durch die tatsächlichen Angaben zu ersetzen. Marke miet.net (PL-002) wird nur zusätzlich geführt; Rechtsträger bleibt LeasNet GmbH (PL-001).</w:t>
      </w:r>
    </w:p>
    <w:p>
      <w:pPr>
        <w:pStyle w:val="Heading2"/>
      </w:pPr>
      <w:r>
        <w:t xml:space="preserve">PLT-IMP-01-02 · Kontakt</w:t>
      </w:r>
    </w:p>
    <w:p>
      <w:r>
        <w:t xml:space="preserve">Telefon: [Nummer]</w:t>
      </w:r>
    </w:p>
    <w:p>
      <w:r>
        <w:t xml:space="preserve">E-Mail: kontakt@miet.net</w:t>
      </w:r>
    </w:p>
    <w:p>
      <w:r>
        <w:t xml:space="preserve">Support: support@miet.net</w:t>
      </w:r>
    </w:p>
    <w:p>
      <w:r>
        <w:t xml:space="preserve">Datenschutz: datenschutz@miet.net</w:t>
      </w:r>
    </w:p>
    <w:p>
      <w:r>
        <w:t xml:space="preserve">Sicherheit / Responsible Disclosure: security@miet.net</w:t>
      </w:r>
    </w:p>
    <w:p>
      <w:pPr>
        <w:pStyle w:val="Heading1"/>
      </w:pPr>
      <w:r>
        <w:t xml:space="preserve">PLT-IMP-02 · Redaktionell verantwortlich</w:t>
      </w:r>
    </w:p>
    <w:p>
      <w:pPr>
        <w:pStyle w:val="Heading2"/>
      </w:pPr>
      <w:r>
        <w:t xml:space="preserve">PLT-IMP-02-01 · Verantwortlicher i. S. v. § 18 Abs. 2 MStV</w:t>
      </w:r>
    </w:p>
    <w:p>
      <w:r>
        <w:t xml:space="preserve">[Name, Anschrift wie oben]</w:t>
      </w:r>
    </w:p>
    <w:p>
      <w:pPr>
        <w:pStyle w:val="Heading1"/>
      </w:pPr>
      <w:r>
        <w:t xml:space="preserve">PLT-IMP-03 · Streitbeilegung</w:t>
      </w:r>
    </w:p>
    <w:p>
      <w:pPr>
        <w:pStyle w:val="Heading2"/>
      </w:pPr>
      <w:r>
        <w:t xml:space="preserve">PLT-IMP-03-01 · Verbraucherstreitbeilegung</w:t>
      </w:r>
    </w:p>
    <w:p>
      <w:r>
        <w:t xml:space="preserve">Die Europäische Kommission stellt eine Plattform zur Online-Streitbeilegung (OS) bereit: https://ec.europa.eu/consumers/odr (SU-007).</w:t>
      </w:r>
    </w:p>
    <w:p>
      <w:r>
        <w:t xml:space="preserve">Die LeasNet GmbH ist nicht verpflichtet und nicht bereit, an einem Streitbeilegungsverfahren vor einer Verbraucherschlichtungsstelle teilzunehmen, es sei denn, dies ist im Einzelfall gesetzlich zwingend vorgesehen (§ 36 VSBG). Der Zugang zu Behörden, Gerichten und gesetzlichen Schlichtungsstellen bleibt unberührt.</w:t>
      </w:r>
    </w:p>
    <w:p>
      <w:pPr>
        <w:ind w:left="360"/>
      </w:pPr>
      <w:r>
        <w:rPr>
          <w:i/>
          <w:iCs/>
          <w:color w:val="555555"/>
          <w:sz w:val="20"/>
          <w:szCs w:val="20"/>
        </w:rPr>
        <w:t xml:space="preserve">Freigabe erforderlich, ob eine freiwillige Teilnahme aufgenommen werden soll.</w:t>
      </w:r>
    </w:p>
    <w:p>
      <w:pPr>
        <w:pStyle w:val="Heading1"/>
      </w:pPr>
      <w:r>
        <w:t xml:space="preserve">PLT-IMP-04 · Berufsrechtliche Angaben</w:t>
      </w:r>
    </w:p>
    <w:p>
      <w:pPr>
        <w:pStyle w:val="Heading2"/>
      </w:pPr>
      <w:r>
        <w:t xml:space="preserve">PLT-IMP-04-01 · Aufsicht und Kammern</w:t>
      </w:r>
    </w:p>
    <w:p>
      <w:r>
        <w:t xml:space="preserve">Die LeasNet GmbH betreibt einen digitalen Vermietungsdienst; berufsrechtliche Kammern oder besondere Aufsichtsbehörden bestehen — abhängig von der finalen VAG-Prüfung (CO-011, BP-19-02) — grundsätzlich nicht. Sollte im Rahmen einer künftigen regulatorischen Einstufung eine Aufsichtsbehörde zuständig werden, wird das Impressum entsprechend ergänzt.</w:t>
      </w:r>
    </w:p>
    <w:p>
      <w:pPr>
        <w:pStyle w:val="Heading1"/>
      </w:pPr>
      <w:r>
        <w:t xml:space="preserve">PLT-IMP-05 · Haftung für Inhalte und Links</w:t>
      </w:r>
    </w:p>
    <w:p>
      <w:pPr>
        <w:pStyle w:val="Heading2"/>
      </w:pPr>
      <w:r>
        <w:t xml:space="preserve">PLT-IMP-05-01 · Eigene und fremde Inhalte</w:t>
      </w:r>
    </w:p>
    <w:p>
      <w:r>
        <w:t xml:space="preserve">Die LeasNet GmbH ist für eigene Inhalte auf miet.net nach den allgemeinen Gesetzen verantwortlich (§§ 7 ff. DDG).</w:t>
      </w:r>
    </w:p>
    <w:p>
      <w:r>
        <w:t xml:space="preserve">Für Inhalte, die Nutzer, insbesondere Vendoren (RO-008), auf der Plattform bereitstellen, gelten die Haftungsprivilegien für Vermittlungsdienste. Bei Kenntnis von rechtswidrigen Inhalten entfernt oder sperrt die LeasNet GmbH diese unverzüglich.</w:t>
      </w:r>
    </w:p>
    <w:p>
      <w:r>
        <w:t xml:space="preserve">Für externe Links wird trotz sorgfältiger inhaltlicher Kontrolle keine Haftung für die Inhalte externer Verweise übernommen.</w:t>
      </w:r>
    </w:p>
    <w:p>
      <w:r>
        <w:br w:type="page"/>
      </w:r>
    </w:p>
    <w:p>
      <w:pPr>
        <w:pStyle w:val="DocTitle"/>
      </w:pPr>
      <w:r>
        <w:t xml:space="preserve">PLT-DS · Datenschutzerklärung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PLT-DS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PLT-DS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BP-15</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Datenschutzerklärung informiert über die Verarbeitung personenbezogener Daten im Zusammenhang mit der Nutzung der Plattform miet.net und den damit verbundenen Diensten der LeasNet GmbH nach Art. 13, 14 DSGVO.</w:t>
      </w:r>
    </w:p>
    <w:p>
      <w:r>
        <w:t xml:space="preserve">Detaillierte Regelungen zu Auftragsverarbeitungen, technischen und organisatorischen Maßnahmen sowie zu gemeinsamer Verantwortlichkeit im Marketplace-Modell werden in ergänzenden Dokumenten (DPA, Joint-Controllership-Vereinbarung) geregelt.</w:t>
      </w:r>
    </w:p>
    <w:p>
      <w:pPr>
        <w:pStyle w:val="Heading1"/>
      </w:pPr>
      <w:r>
        <w:t xml:space="preserve">PLT-DS-01 · Verantwortlicher und Datenschutzbeauftragter</w:t>
      </w:r>
    </w:p>
    <w:p>
      <w:pPr>
        <w:pStyle w:val="Heading2"/>
      </w:pPr>
      <w:r>
        <w:t xml:space="preserve">PLT-DS-01-01 · Verantwortlicher (DA-002)</w:t>
      </w:r>
    </w:p>
    <w:p>
      <w:r>
        <w:t xml:space="preserve">Verantwortlicher im Sinne des Art. 4 Nr. 7 DSGVO ist die LeasNet GmbH (siehe Impressum, Dokument PLT-IMP).</w:t>
      </w:r>
    </w:p>
    <w:p>
      <w:r>
        <w:t xml:space="preserve">Kontakt in Datenschutzfragen: datenschutz@miet.net.</w:t>
      </w:r>
    </w:p>
    <w:p>
      <w:pPr>
        <w:pStyle w:val="Heading2"/>
      </w:pPr>
      <w:r>
        <w:t xml:space="preserve">PLT-DS-01-02 · Datenschutzbeauftragter</w:t>
      </w:r>
    </w:p>
    <w:p>
      <w:r>
        <w:t xml:space="preserve">Ein Datenschutzbeauftragter wird bestellt, sofern die Voraussetzungen des Art. 37 DSGVO bzw. § 38 BDSG vorliegen; Kontaktdaten werden hier veröffentlicht, sobald sie feststehen.</w:t>
      </w:r>
    </w:p>
    <w:p>
      <w:pPr>
        <w:pStyle w:val="Heading1"/>
      </w:pPr>
      <w:r>
        <w:t xml:space="preserve">PLT-DS-02 · Kategorien personenbezogener Daten</w:t>
      </w:r>
    </w:p>
    <w:p>
      <w:pPr>
        <w:pStyle w:val="Heading2"/>
      </w:pPr>
      <w:r>
        <w:t xml:space="preserve">PLT-DS-02-01 · Erhobene Datenkategorien</w:t>
      </w:r>
    </w:p>
    <w:p>
      <w:pPr>
        <w:pStyle w:val="ListParagraph"/>
        <w:numPr>
          <w:ilvl w:val="0"/>
          <w:numId w:val="2"/>
        </w:numPr>
      </w:pPr>
      <w:r>
        <w:t xml:space="preserve">Stammdaten (Name, Anschrift, Kontaktdaten, Geburtsdatum bei Alter-Verifikation).</w:t>
      </w:r>
    </w:p>
    <w:p>
      <w:pPr>
        <w:pStyle w:val="ListParagraph"/>
        <w:numPr>
          <w:ilvl w:val="0"/>
          <w:numId w:val="2"/>
        </w:numPr>
      </w:pPr>
      <w:r>
        <w:t xml:space="preserve">Konto- und Login-Daten (E-Mail, verschlüsselt gespeichertes Passwort, MFA-Sekrete).</w:t>
      </w:r>
    </w:p>
    <w:p>
      <w:pPr>
        <w:pStyle w:val="ListParagraph"/>
        <w:numPr>
          <w:ilvl w:val="0"/>
          <w:numId w:val="2"/>
        </w:numPr>
      </w:pPr>
      <w:r>
        <w:t xml:space="preserve">Verifikations- und KYC-Daten (Ausweisdaten, Lebendbild, Unternehmens- und Vertretungsdaten; ID-003, ID-006, ID-007).</w:t>
      </w:r>
    </w:p>
    <w:p>
      <w:pPr>
        <w:pStyle w:val="ListParagraph"/>
        <w:numPr>
          <w:ilvl w:val="0"/>
          <w:numId w:val="2"/>
        </w:numPr>
      </w:pPr>
      <w:r>
        <w:t xml:space="preserve">Vertrags- und Mietdaten (BK-001 bis BK-011, Assets, Konditionen).</w:t>
      </w:r>
    </w:p>
    <w:p>
      <w:pPr>
        <w:pStyle w:val="ListParagraph"/>
        <w:numPr>
          <w:ilvl w:val="0"/>
          <w:numId w:val="2"/>
        </w:numPr>
      </w:pPr>
      <w:r>
        <w:t xml:space="preserve">Zahlungs- und Rechnungsdaten (Zahlungsmittel, Transaktions-IDs, Rechnungsdaten; PY-005, PY-033).</w:t>
      </w:r>
    </w:p>
    <w:p>
      <w:pPr>
        <w:pStyle w:val="ListParagraph"/>
        <w:numPr>
          <w:ilvl w:val="0"/>
          <w:numId w:val="2"/>
        </w:numPr>
      </w:pPr>
      <w:r>
        <w:t xml:space="preserve">Kautions- und Schadensdaten (DP-001, DM-013 ff., inkl. Fotos, Prüfberichte, Beweismittel).</w:t>
      </w:r>
    </w:p>
    <w:p>
      <w:pPr>
        <w:pStyle w:val="ListParagraph"/>
        <w:numPr>
          <w:ilvl w:val="0"/>
          <w:numId w:val="2"/>
        </w:numPr>
      </w:pPr>
      <w:r>
        <w:t xml:space="preserve">Kommunikationsdaten (Support-Tickets, Vendor-Kommunikation, In-App-Chats).</w:t>
      </w:r>
    </w:p>
    <w:p>
      <w:pPr>
        <w:pStyle w:val="ListParagraph"/>
        <w:numPr>
          <w:ilvl w:val="0"/>
          <w:numId w:val="2"/>
        </w:numPr>
      </w:pPr>
      <w:r>
        <w:t xml:space="preserve">Nutzungsdaten (Geräte-, Sitzungs-, Log-, Fehler- und Sicherheitsdaten).</w:t>
      </w:r>
    </w:p>
    <w:p>
      <w:pPr>
        <w:pStyle w:val="ListParagraph"/>
        <w:numPr>
          <w:ilvl w:val="0"/>
          <w:numId w:val="2"/>
        </w:numPr>
      </w:pPr>
      <w:r>
        <w:t xml:space="preserve">Optional: freiwillig bereitgestellte Marketing- und Präferenzdaten.</w:t>
      </w:r>
    </w:p>
    <w:p>
      <w:pPr>
        <w:pStyle w:val="Heading1"/>
      </w:pPr>
      <w:r>
        <w:t xml:space="preserve">PLT-DS-03 · Zwecke und Rechtsgrundlagen</w:t>
      </w:r>
    </w:p>
    <w:p>
      <w:pPr>
        <w:pStyle w:val="Heading2"/>
      </w:pPr>
      <w:r>
        <w:t xml:space="preserve">PLT-DS-03-01 · Verarbeitungszwecke</w:t>
      </w:r>
    </w:p>
    <w:p>
      <w:pPr>
        <w:pStyle w:val="ListParagraph"/>
        <w:numPr>
          <w:ilvl w:val="0"/>
          <w:numId w:val="2"/>
        </w:numPr>
      </w:pPr>
      <w:r>
        <w:t xml:space="preserve">Vertragsanbahnung, -abschluss und -durchführung (Art. 6 Abs. 1 lit. b DSGVO).</w:t>
      </w:r>
    </w:p>
    <w:p>
      <w:pPr>
        <w:pStyle w:val="ListParagraph"/>
        <w:numPr>
          <w:ilvl w:val="0"/>
          <w:numId w:val="2"/>
        </w:numPr>
      </w:pPr>
      <w:r>
        <w:t xml:space="preserve">Erfüllung gesetzlicher Pflichten, insbesondere Steuer-, Handels- und Geldwäscherecht (Art. 6 Abs. 1 lit. c DSGVO; §§ 147 AO, 257 HGB, GwG).</w:t>
      </w:r>
    </w:p>
    <w:p>
      <w:pPr>
        <w:pStyle w:val="ListParagraph"/>
        <w:numPr>
          <w:ilvl w:val="0"/>
          <w:numId w:val="2"/>
        </w:numPr>
      </w:pPr>
      <w:r>
        <w:t xml:space="preserve">Betrieb, Sicherheit, Missbrauchs- und Betrugsprävention (Art. 6 Abs. 1 lit. f DSGVO; RK-001 ff.).</w:t>
      </w:r>
    </w:p>
    <w:p>
      <w:pPr>
        <w:pStyle w:val="ListParagraph"/>
        <w:numPr>
          <w:ilvl w:val="0"/>
          <w:numId w:val="2"/>
        </w:numPr>
      </w:pPr>
      <w:r>
        <w:t xml:space="preserve">Vermittlung, Zahlungsabwicklung und Kautionsverwahrung im Marketplace (Art. 6 Abs. 1 lit. b und f DSGVO; RM-002, DP-004).</w:t>
      </w:r>
    </w:p>
    <w:p>
      <w:pPr>
        <w:pStyle w:val="ListParagraph"/>
        <w:numPr>
          <w:ilvl w:val="0"/>
          <w:numId w:val="2"/>
        </w:numPr>
      </w:pPr>
      <w:r>
        <w:t xml:space="preserve">Kommunikation und Support (Art. 6 Abs. 1 lit. b und f DSGVO).</w:t>
      </w:r>
    </w:p>
    <w:p>
      <w:pPr>
        <w:pStyle w:val="ListParagraph"/>
        <w:numPr>
          <w:ilvl w:val="0"/>
          <w:numId w:val="2"/>
        </w:numPr>
      </w:pPr>
      <w:r>
        <w:t xml:space="preserve">Optionale Analyse und Marketing (Art. 6 Abs. 1 lit. a DSGVO — Einwilligung, DA-006).</w:t>
      </w:r>
    </w:p>
    <w:p>
      <w:pPr>
        <w:pStyle w:val="Heading2"/>
      </w:pPr>
      <w:r>
        <w:t xml:space="preserve">PLT-DS-03-02 · Berechtigtes Interesse (Abwägung)</w:t>
      </w:r>
    </w:p>
    <w:p>
      <w:r>
        <w:t xml:space="preserve">Berechtigte Interessen (DA-007) sind insbesondere die Aufrechterhaltung eines sicheren, funktionsfähigen und wirtschaftlich tragfähigen Dienstes, die Verhinderung von Missbrauch (RK-003), Betrug (RK-004) und Vermögensschäden sowie die Durchsetzung berechtigter Ansprüche aus Mietverträgen. Die Interessen betroffener Personen werden bei jedem Zweck geprüft und dokumentiert.</w:t>
      </w:r>
    </w:p>
    <w:p>
      <w:pPr>
        <w:pStyle w:val="Heading1"/>
      </w:pPr>
      <w:r>
        <w:t xml:space="preserve">PLT-DS-04 · Empfänger und Auftragsverarbeiter</w:t>
      </w:r>
    </w:p>
    <w:p>
      <w:pPr>
        <w:pStyle w:val="Heading2"/>
      </w:pPr>
      <w:r>
        <w:t xml:space="preserve">PLT-DS-04-01 · Empfängerkategorien</w:t>
      </w:r>
    </w:p>
    <w:p>
      <w:pPr>
        <w:pStyle w:val="ListParagraph"/>
        <w:numPr>
          <w:ilvl w:val="0"/>
          <w:numId w:val="2"/>
        </w:numPr>
      </w:pPr>
      <w:r>
        <w:t xml:space="preserve">Zahlungsdienstleister (RO-015), insbesondere Stripe Payments Europe, Ltd. und Stripe Technology Europe, Limited.</w:t>
      </w:r>
    </w:p>
    <w:p>
      <w:pPr>
        <w:pStyle w:val="ListParagraph"/>
        <w:numPr>
          <w:ilvl w:val="0"/>
          <w:numId w:val="2"/>
        </w:numPr>
      </w:pPr>
      <w:r>
        <w:t xml:space="preserve">Warehouse-Betreiber und Versanddienstleister (RO-014, WH-014).</w:t>
      </w:r>
    </w:p>
    <w:p>
      <w:pPr>
        <w:pStyle w:val="ListParagraph"/>
        <w:numPr>
          <w:ilvl w:val="0"/>
          <w:numId w:val="2"/>
        </w:numPr>
      </w:pPr>
      <w:r>
        <w:t xml:space="preserve">Identitäts-, KYC- und Bonitätsdienstleister (ID-003, ID-005, ID-006).</w:t>
      </w:r>
    </w:p>
    <w:p>
      <w:pPr>
        <w:pStyle w:val="ListParagraph"/>
        <w:numPr>
          <w:ilvl w:val="0"/>
          <w:numId w:val="2"/>
        </w:numPr>
      </w:pPr>
      <w:r>
        <w:t xml:space="preserve">Kommunikations-, Hosting- und Sicherheits-Dienstleister.</w:t>
      </w:r>
    </w:p>
    <w:p>
      <w:pPr>
        <w:pStyle w:val="ListParagraph"/>
        <w:numPr>
          <w:ilvl w:val="0"/>
          <w:numId w:val="2"/>
        </w:numPr>
      </w:pPr>
      <w:r>
        <w:t xml:space="preserve">Vendoren im Umfang der Datenweitergabe-Regeln (VN-009).</w:t>
      </w:r>
    </w:p>
    <w:p>
      <w:pPr>
        <w:pStyle w:val="ListParagraph"/>
        <w:numPr>
          <w:ilvl w:val="0"/>
          <w:numId w:val="2"/>
        </w:numPr>
      </w:pPr>
      <w:r>
        <w:t xml:space="preserve">Behörden (RO-017) auf Grundlage gesetzlicher Verpflichtung.</w:t>
      </w:r>
    </w:p>
    <w:p>
      <w:pPr>
        <w:ind w:left="360"/>
      </w:pPr>
      <w:r>
        <w:rPr>
          <w:i/>
          <w:iCs/>
          <w:color w:val="555555"/>
          <w:sz w:val="20"/>
          <w:szCs w:val="20"/>
        </w:rPr>
        <w:t xml:space="preserve">Namentliche Auflistung inkl. Sitz, Rechtsgrundlage und Übermittlungsgarantien pflegt das Verzeichnis von Verarbeitungstätigkeiten und die Subprozessorenliste.</w:t>
      </w:r>
    </w:p>
    <w:p>
      <w:pPr>
        <w:pStyle w:val="Heading2"/>
      </w:pPr>
      <w:r>
        <w:t xml:space="preserve">PLT-DS-04-02 · Auftragsverarbeitung</w:t>
      </w:r>
    </w:p>
    <w:p>
      <w:r>
        <w:t xml:space="preserve">Auftragsverarbeiter (DA-003) werden nach Art. 28 DSGVO vertraglich verpflichtet (DA-005). Die Auswahl erfolgt nach Prüfung der technischen und organisatorischen Maßnahmen.</w:t>
      </w:r>
    </w:p>
    <w:p>
      <w:pPr>
        <w:pStyle w:val="Heading1"/>
      </w:pPr>
      <w:r>
        <w:t xml:space="preserve">PLT-DS-05 · Übermittlungen in Drittländer</w:t>
      </w:r>
    </w:p>
    <w:p>
      <w:pPr>
        <w:pStyle w:val="Heading2"/>
      </w:pPr>
      <w:r>
        <w:t xml:space="preserve">PLT-DS-05-01 · Rechtsgrundlagen</w:t>
      </w:r>
    </w:p>
    <w:p>
      <w:r>
        <w:t xml:space="preserve">Übermittlungen in Länder außerhalb des EWR (DA-013) erfolgen nur, wenn ein Angemessenheitsbeschluss vorliegt, geeignete Garantien nach Art. 46 DSGVO — insbesondere Standarddatenschutzklauseln (DA-014) — bestehen oder eine der Ausnahmen des Art. 49 DSGVO greift.</w:t>
      </w:r>
    </w:p>
    <w:p>
      <w:pPr>
        <w:pStyle w:val="Heading1"/>
      </w:pPr>
      <w:r>
        <w:t xml:space="preserve">PLT-DS-06 · Speicherdauer und Löschung</w:t>
      </w:r>
    </w:p>
    <w:p>
      <w:pPr>
        <w:pStyle w:val="Heading2"/>
      </w:pPr>
      <w:r>
        <w:t xml:space="preserve">PLT-DS-06-01 · Aufbewahrungsplan</w:t>
      </w:r>
    </w:p>
    <w:p>
      <w:r>
        <w:t xml:space="preserve">Personenbezogene Daten werden nach dem Aufbewahrungsplan (DA-020) gelöscht, sobald sie für die verfolgten Zwecke nicht mehr erforderlich sind und keine gesetzlichen Aufbewahrungspflichten (PY-036) entgegenstehen.</w:t>
      </w:r>
    </w:p>
    <w:p>
      <w:r>
        <w:t xml:space="preserve">Steuer- und handelsrechtlich relevante Belege werden 10 Jahre aufbewahrt (§§ 147 AO, 257 HGB, CO-010).</w:t>
      </w:r>
    </w:p>
    <w:p>
      <w:r>
        <w:t xml:space="preserve">Verifikations- und KYC-Daten werden für die Dauer der Geschäftsbeziehung und bis zu 5 Jahre danach vorgehalten, soweit gesetzlich geboten (§ 8 GwG).</w:t>
      </w:r>
    </w:p>
    <w:p>
      <w:pPr>
        <w:pStyle w:val="Heading1"/>
      </w:pPr>
      <w:r>
        <w:t xml:space="preserve">PLT-DS-07 · Rechte der betroffenen Personen</w:t>
      </w:r>
    </w:p>
    <w:p>
      <w:pPr>
        <w:pStyle w:val="Heading2"/>
      </w:pPr>
      <w:r>
        <w:t xml:space="preserve">PLT-DS-07-01 · Katalog der Betroffenenrechte (DA-011)</w:t>
      </w:r>
    </w:p>
    <w:p>
      <w:pPr>
        <w:pStyle w:val="ListParagraph"/>
        <w:numPr>
          <w:ilvl w:val="0"/>
          <w:numId w:val="2"/>
        </w:numPr>
      </w:pPr>
      <w:r>
        <w:t xml:space="preserve">Auskunft (Art. 15 DSGVO).</w:t>
      </w:r>
    </w:p>
    <w:p>
      <w:pPr>
        <w:pStyle w:val="ListParagraph"/>
        <w:numPr>
          <w:ilvl w:val="0"/>
          <w:numId w:val="2"/>
        </w:numPr>
      </w:pPr>
      <w:r>
        <w:t xml:space="preserve">Berichtigung (Art. 16 DSGVO).</w:t>
      </w:r>
    </w:p>
    <w:p>
      <w:pPr>
        <w:pStyle w:val="ListParagraph"/>
        <w:numPr>
          <w:ilvl w:val="0"/>
          <w:numId w:val="2"/>
        </w:numPr>
      </w:pPr>
      <w:r>
        <w:t xml:space="preserve">Löschung (Art. 17 DSGVO, DA-019).</w:t>
      </w:r>
    </w:p>
    <w:p>
      <w:pPr>
        <w:pStyle w:val="ListParagraph"/>
        <w:numPr>
          <w:ilvl w:val="0"/>
          <w:numId w:val="2"/>
        </w:numPr>
      </w:pPr>
      <w:r>
        <w:t xml:space="preserve">Einschränkung der Verarbeitung (Art. 18 DSGVO).</w:t>
      </w:r>
    </w:p>
    <w:p>
      <w:pPr>
        <w:pStyle w:val="ListParagraph"/>
        <w:numPr>
          <w:ilvl w:val="0"/>
          <w:numId w:val="2"/>
        </w:numPr>
      </w:pPr>
      <w:r>
        <w:t xml:space="preserve">Datenübertragbarkeit (Art. 20 DSGVO, DA-018).</w:t>
      </w:r>
    </w:p>
    <w:p>
      <w:pPr>
        <w:pStyle w:val="ListParagraph"/>
        <w:numPr>
          <w:ilvl w:val="0"/>
          <w:numId w:val="2"/>
        </w:numPr>
      </w:pPr>
      <w:r>
        <w:t xml:space="preserve">Widerspruch (Art. 21 DSGVO), insbesondere gegen Verarbeitung auf Grundlage berechtigter Interessen.</w:t>
      </w:r>
    </w:p>
    <w:p>
      <w:pPr>
        <w:pStyle w:val="ListParagraph"/>
        <w:numPr>
          <w:ilvl w:val="0"/>
          <w:numId w:val="2"/>
        </w:numPr>
      </w:pPr>
      <w:r>
        <w:t xml:space="preserve">Widerruf von Einwilligungen (Art. 7 Abs. 3 DSGVO).</w:t>
      </w:r>
    </w:p>
    <w:p>
      <w:pPr>
        <w:pStyle w:val="ListParagraph"/>
        <w:numPr>
          <w:ilvl w:val="0"/>
          <w:numId w:val="2"/>
        </w:numPr>
      </w:pPr>
      <w:r>
        <w:t xml:space="preserve">Beschwerde bei einer Aufsichtsbehörde (Art. 77 DSGVO).</w:t>
      </w:r>
    </w:p>
    <w:p>
      <w:pPr>
        <w:pStyle w:val="Heading2"/>
      </w:pPr>
      <w:r>
        <w:t xml:space="preserve">PLT-DS-07-02 · Ausübung</w:t>
      </w:r>
    </w:p>
    <w:p>
      <w:r>
        <w:t xml:space="preserve">Anträge sind an datenschutz@miet.net oder über die dafür vorgesehene Portalfunktion zu richten. Zur Verifizierung kann die Vorlage geeigneter Identifikationsmittel verlangt werden.</w:t>
      </w:r>
    </w:p>
    <w:p>
      <w:pPr>
        <w:pStyle w:val="Heading1"/>
      </w:pPr>
      <w:r>
        <w:t xml:space="preserve">PLT-DS-08 · Automatisierte Entscheidungen und Profiling</w:t>
      </w:r>
    </w:p>
    <w:p>
      <w:pPr>
        <w:pStyle w:val="Heading2"/>
      </w:pPr>
      <w:r>
        <w:t xml:space="preserve">PLT-DS-08-01 · Risiko- und Betrugserkennung</w:t>
      </w:r>
    </w:p>
    <w:p>
      <w:r>
        <w:t xml:space="preserve">Zur Ableitung eines Risikoscores (RK-002) werden automatisierte Auswertungen durchgeführt. Diese haben regelmäßig unterstützende Wirkung; eine ablehnende Entscheidung mit erheblichen Auswirkungen (z. B. Kontosperrung) wird — soweit gesetzlich geboten — durch eine natürliche Person überprüfbar gemacht.</w:t>
      </w:r>
    </w:p>
    <w:p>
      <w:pPr>
        <w:pStyle w:val="Heading1"/>
      </w:pPr>
      <w:r>
        <w:t xml:space="preserve">PLT-DS-09 · Sicherheit der Verarbeitung</w:t>
      </w:r>
    </w:p>
    <w:p>
      <w:pPr>
        <w:pStyle w:val="Heading2"/>
      </w:pPr>
      <w:r>
        <w:t xml:space="preserve">PLT-DS-09-01 · TOMs</w:t>
      </w:r>
    </w:p>
    <w:p>
      <w:r>
        <w:t xml:space="preserve">Die LeasNet GmbH implementiert angemessene technische und organisatorische Maßnahmen nach Art. 32 DSGVO. Details in der Security Policy (PLT-SEC) und im Verzeichnis der TOM.</w:t>
      </w:r>
    </w:p>
    <w:p>
      <w:pPr>
        <w:pStyle w:val="Heading1"/>
      </w:pPr>
      <w:r>
        <w:t xml:space="preserve">PLT-DS-10 · Änderungen dieser Erklärung</w:t>
      </w:r>
    </w:p>
    <w:p>
      <w:pPr>
        <w:pStyle w:val="Heading2"/>
      </w:pPr>
      <w:r>
        <w:t xml:space="preserve">PLT-DS-10-01 · Aktualisierungen</w:t>
      </w:r>
    </w:p>
    <w:p>
      <w:r>
        <w:t xml:space="preserve">Materielle Änderungen werden nach dem Versionierungsmodell (BP-26) angekündigt; die jeweils gültige Fassung ist im Trust Center abrufbar (BP-25).</w:t>
      </w:r>
    </w:p>
    <w:p>
      <w:r>
        <w:br w:type="page"/>
      </w:r>
    </w:p>
    <w:p>
      <w:pPr>
        <w:pStyle w:val="DocTitle"/>
      </w:pPr>
      <w:r>
        <w:t xml:space="preserve">PLT-COO · Cookie-Richtlinie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PLT-COO</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PLT-COO</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BP-15</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erläutert, welche Cookies (DA-016) und vergleichbare Technologien miet.net einsetzt und wie eine Einwilligung erteilt bzw. widerrufen werden kann. Grundlage ist § 25 TDDDG (CO-008) und Art. 6 DSGVO.</w:t>
      </w:r>
    </w:p>
    <w:p>
      <w:pPr>
        <w:pStyle w:val="Heading1"/>
      </w:pPr>
      <w:r>
        <w:t xml:space="preserve">PLT-COO-01 · Kategorien und Einsatzzwecke</w:t>
      </w:r>
    </w:p>
    <w:p>
      <w:pPr>
        <w:pStyle w:val="Heading2"/>
      </w:pPr>
      <w:r>
        <w:t xml:space="preserve">PLT-COO-01-01 · Technisch notwendige Cookies</w:t>
      </w:r>
    </w:p>
    <w:p>
      <w:r>
        <w:t xml:space="preserve">Cookies, die für den Betrieb der Plattform erforderlich sind (z. B. Session, Warenkorb, Login, CSRF-Schutz). Rechtsgrundlage: § 25 Abs. 2 Nr. 2 TDDDG. Keine Einwilligung erforderlich.</w:t>
      </w:r>
    </w:p>
    <w:p>
      <w:pPr>
        <w:pStyle w:val="Heading2"/>
      </w:pPr>
      <w:r>
        <w:t xml:space="preserve">PLT-COO-01-02 · Präferenz-Cookies</w:t>
      </w:r>
    </w:p>
    <w:p>
      <w:r>
        <w:t xml:space="preserve">Speichern nutzerseitige Einstellungen (Sprache, Region, Layout). Einwilligungspflichtig, soweit nicht erforderlich.</w:t>
      </w:r>
    </w:p>
    <w:p>
      <w:pPr>
        <w:pStyle w:val="Heading2"/>
      </w:pPr>
      <w:r>
        <w:t xml:space="preserve">PLT-COO-01-03 · Statistik- und Analyse-Cookies (DA-017)</w:t>
      </w:r>
    </w:p>
    <w:p>
      <w:r>
        <w:t xml:space="preserve">Aggregierte Nutzungsanalyse zur Verbesserung der Plattform. Einwilligungspflichtig; werden erst nach ausdrücklicher Zustimmung geladen.</w:t>
      </w:r>
    </w:p>
    <w:p>
      <w:pPr>
        <w:pStyle w:val="Heading2"/>
      </w:pPr>
      <w:r>
        <w:t xml:space="preserve">PLT-COO-01-04 · Marketing-Cookies</w:t>
      </w:r>
    </w:p>
    <w:p>
      <w:r>
        <w:t xml:space="preserve">Ausspielung, Messung und Optimierung von Werbekampagnen. Einwilligungspflichtig; werden erst nach ausdrücklicher Zustimmung gesetzt.</w:t>
      </w:r>
    </w:p>
    <w:p>
      <w:pPr>
        <w:pStyle w:val="Heading1"/>
      </w:pPr>
      <w:r>
        <w:t xml:space="preserve">PLT-COO-02 · Einwilligung und Widerruf</w:t>
      </w:r>
    </w:p>
    <w:p>
      <w:pPr>
        <w:pStyle w:val="Heading2"/>
      </w:pPr>
      <w:r>
        <w:t xml:space="preserve">PLT-COO-02-01 · Consent-Banner</w:t>
      </w:r>
    </w:p>
    <w:p>
      <w:r>
        <w:t xml:space="preserve">Beim ersten Besuch der Plattform wird ein Consent-Banner angezeigt. Nutzer können pro Kategorie zustimmen oder ablehnen. Ablehnung ist ebenso leicht wie Zustimmung möglich.</w:t>
      </w:r>
    </w:p>
    <w:p>
      <w:r>
        <w:t xml:space="preserve">Einwilligungen werden im Consent-Log (DA-015) mit Zeitpunkt, Version und Kategorie protokolliert.</w:t>
      </w:r>
    </w:p>
    <w:p>
      <w:pPr>
        <w:pStyle w:val="Heading2"/>
      </w:pPr>
      <w:r>
        <w:t xml:space="preserve">PLT-COO-02-02 · Widerruf</w:t>
      </w:r>
    </w:p>
    <w:p>
      <w:r>
        <w:t xml:space="preserve">Einwilligungen können jederzeit über die Cookie-Einstellungen im Footer widerrufen werden; der Widerruf berührt nicht die Rechtmäßigkeit der bisherigen Verarbeitung.</w:t>
      </w:r>
    </w:p>
    <w:p>
      <w:pPr>
        <w:pStyle w:val="Heading1"/>
      </w:pPr>
      <w:r>
        <w:t xml:space="preserve">PLT-COO-03 · Übersicht eingesetzter Cookies</w:t>
      </w:r>
    </w:p>
    <w:p>
      <w:pPr>
        <w:pStyle w:val="Heading2"/>
      </w:pPr>
      <w:r>
        <w:t xml:space="preserve">PLT-COO-03-01 · Verzeichnis</w:t>
      </w:r>
    </w:p>
    <w:p>
      <w:r>
        <w:t xml:space="preserve">Eine tagesaktuelle Liste eingesetzter Cookies und Skripte, deren Anbieter, Zweck, Laufzeit und Rechtsgrundlage ist über die Cookie-Einstellungen im Footer abrufbar.</w:t>
      </w:r>
    </w:p>
    <w:p>
      <w:pPr>
        <w:ind w:left="360"/>
      </w:pPr>
      <w:r>
        <w:rPr>
          <w:i/>
          <w:iCs/>
          <w:color w:val="555555"/>
          <w:sz w:val="20"/>
          <w:szCs w:val="20"/>
        </w:rPr>
        <w:t xml:space="preserve">Vor Livegang mit dem tatsächlichen Tag-Manager-Inventar abzugleichen.</w:t>
      </w:r>
    </w:p>
    <w:p>
      <w:r>
        <w:br w:type="page"/>
      </w:r>
    </w:p>
    <w:p>
      <w:pPr>
        <w:pStyle w:val="DocTitle"/>
      </w:pPr>
      <w:r>
        <w:t xml:space="preserve">PLT-TERM · Plattform-Nutzungsbedingungen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PLT-TERM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PLT-TERM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BP-01 bis BP-04, BP-19</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Bedingungen regeln die Nutzung der Plattform miet.net (PL-002), betrieben von der LeasNet GmbH (PL-001). Sie gelten zusätzlich zu den spezifischen Bedingungen der jeweiligen Ökosysteme (Privat, Business, Vendor).</w:t>
      </w:r>
    </w:p>
    <w:p>
      <w:pPr>
        <w:pStyle w:val="Heading1"/>
      </w:pPr>
      <w:r>
        <w:t xml:space="preserve">PLT-TERM-01 · Geltungsbereich</w:t>
      </w:r>
    </w:p>
    <w:p>
      <w:pPr>
        <w:pStyle w:val="Heading2"/>
      </w:pPr>
      <w:r>
        <w:t xml:space="preserve">PLT-TERM-01-01 · Anwendungsbereich</w:t>
      </w:r>
    </w:p>
    <w:p>
      <w:r>
        <w:t xml:space="preserve">Diese Bedingungen gelten für den Zugriff auf und die Nutzung von miet.net sowie sämtlicher Unter-Portale (PL-004 bis PL-009). Für konkrete Mietverträge, Vendor-Verträge und Business-Verträge gelten die dafür spezifischen Dokumente vorrangig.</w:t>
      </w:r>
    </w:p>
    <w:p>
      <w:pPr>
        <w:pStyle w:val="Heading2"/>
      </w:pPr>
      <w:r>
        <w:t xml:space="preserve">PLT-TERM-01-02 · Vertragspartner</w:t>
      </w:r>
    </w:p>
    <w:p>
      <w:r>
        <w:t xml:space="preserve">Vertragspartner für die Plattformnutzung ist die LeasNet GmbH.</w:t>
      </w:r>
    </w:p>
    <w:p>
      <w:r>
        <w:t xml:space="preserve">Vertragspartner für einen konkreten Mietvertrag ist entweder die LeasNet GmbH (Direct-Rental, RM-001) oder der jeweilige Vendor (Marketplace-Rental, RM-002); die Zuordnung ist im Warenkorb, in der Bestellbestätigung, im Vertrag und in der Rechnung ausgewiesen (RM-003).</w:t>
      </w:r>
    </w:p>
    <w:p>
      <w:pPr>
        <w:pStyle w:val="Heading1"/>
      </w:pPr>
      <w:r>
        <w:t xml:space="preserve">PLT-TERM-02 · Zugang und Konto</w:t>
      </w:r>
    </w:p>
    <w:p>
      <w:pPr>
        <w:pStyle w:val="Heading2"/>
      </w:pPr>
      <w:r>
        <w:t xml:space="preserve">PLT-TERM-02-01 · Registrierung</w:t>
      </w:r>
    </w:p>
    <w:p>
      <w:r>
        <w:t xml:space="preserve">Die Nutzung bestimmter Funktionen erfordert die Anlage eines Kontos (ID-001). Angaben sind wahrheitsgemäß und aktuell zu halten.</w:t>
      </w:r>
    </w:p>
    <w:p>
      <w:pPr>
        <w:pStyle w:val="Heading2"/>
      </w:pPr>
      <w:r>
        <w:t xml:space="preserve">PLT-TERM-02-02 · Sicherheit</w:t>
      </w:r>
    </w:p>
    <w:p>
      <w:r>
        <w:t xml:space="preserve">Nutzer sind verpflichtet, Zugangsdaten vertraulich zu behandeln, Missbrauch unverzüglich zu melden und wo möglich die Zwei-Faktor-Authentifizierung zu aktivieren.</w:t>
      </w:r>
    </w:p>
    <w:p>
      <w:pPr>
        <w:pStyle w:val="Heading1"/>
      </w:pPr>
      <w:r>
        <w:t xml:space="preserve">PLT-TERM-03 · Rolle der Plattform im Marketplace</w:t>
      </w:r>
    </w:p>
    <w:p>
      <w:pPr>
        <w:pStyle w:val="Heading2"/>
      </w:pPr>
      <w:r>
        <w:t xml:space="preserve">PLT-TERM-03-01 · Vermittlungstätigkeit</w:t>
      </w:r>
    </w:p>
    <w:p>
      <w:r>
        <w:t xml:space="preserve">Im Marketplace-Modell tritt die LeasNet GmbH ausschließlich als Vermittlerin (RO-012) auf. Vertragspartner des Kunden ist der jeweilige Vendor (RO-008). Die LeasNet GmbH ist nicht Partei des Mietvertrags im Marketplace und wird auch nicht durch Zahlungsabwicklung oder Kautionsverwahrung zur Vermieterin.</w:t>
      </w:r>
    </w:p>
    <w:p>
      <w:pPr>
        <w:pStyle w:val="Heading2"/>
      </w:pPr>
      <w:r>
        <w:t xml:space="preserve">PLT-TERM-03-02 · Zahlungs- und Kautionsabwicklung</w:t>
      </w:r>
    </w:p>
    <w:p>
      <w:r>
        <w:t xml:space="preserve">Zahlungen und Kautionen werden über den Zahlungsdienstleister (RO-015) und die LeasNet GmbH als Kautionsverwahrerin (DP-004) abgewickelt. Details ergeben sich aus den Payment- und Deposit-Terms (CON-PAY, CON-DEP).</w:t>
      </w:r>
    </w:p>
    <w:p>
      <w:pPr>
        <w:pStyle w:val="Heading1"/>
      </w:pPr>
      <w:r>
        <w:t xml:space="preserve">PLT-TERM-04 · Verfügbarkeit und Änderungen</w:t>
      </w:r>
    </w:p>
    <w:p>
      <w:pPr>
        <w:pStyle w:val="Heading2"/>
      </w:pPr>
      <w:r>
        <w:t xml:space="preserve">PLT-TERM-04-01 · Serviceverfügbarkeit</w:t>
      </w:r>
    </w:p>
    <w:p>
      <w:r>
        <w:t xml:space="preserve">Die LeasNet GmbH bemüht sich um eine hohe Verfügbarkeit, schuldet aber — außerhalb ausdrücklich vereinbarter SLAs (BZ-013) — keine bestimmte Verfügbarkeitsquote.</w:t>
      </w:r>
    </w:p>
    <w:p>
      <w:pPr>
        <w:pStyle w:val="Heading2"/>
      </w:pPr>
      <w:r>
        <w:t xml:space="preserve">PLT-TERM-04-02 · Änderungen</w:t>
      </w:r>
    </w:p>
    <w:p>
      <w:r>
        <w:t xml:space="preserve">Materielle Änderungen dieser Bedingungen werden nach BP-26 mit angemessenem Vorlauf angekündigt. Betroffenen steht ein Widerspruchsrecht (CN-005) zu.</w:t>
      </w:r>
    </w:p>
    <w:p>
      <w:pPr>
        <w:pStyle w:val="Heading1"/>
      </w:pPr>
      <w:r>
        <w:t xml:space="preserve">PLT-TERM-05 · Haftung</w:t>
      </w:r>
    </w:p>
    <w:p>
      <w:pPr>
        <w:pStyle w:val="Heading2"/>
      </w:pPr>
      <w:r>
        <w:t xml:space="preserve">PLT-TERM-05-01 · Haftungsmaßstab</w:t>
      </w:r>
    </w:p>
    <w:p>
      <w:r>
        <w:t xml:space="preserve">Die LeasNet GmbH haftet unbeschränkt bei Vorsatz, grober Fahrlässigkeit, Verletzung von Leben, Körper und Gesundheit sowie nach dem Produkthaftungsgesetz.</w:t>
      </w:r>
    </w:p>
    <w:p>
      <w:r>
        <w:t xml:space="preserve">Bei einfacher Fahrlässigkeit haftet die LeasNet GmbH nur bei Verletzung wesentlicher Vertragspflichten (Kardinalpflichten) und beschränkt auf den vertragstypischen, vorhersehbaren Schaden.</w:t>
      </w:r>
    </w:p>
    <w:p>
      <w:r>
        <w:t xml:space="preserve">Für Verbraucher gelten die zwingenden Vorschriften der §§ 305 ff. BGB und § 309 BGB uneingeschränkt.</w:t>
      </w:r>
    </w:p>
    <w:p>
      <w:pPr>
        <w:pStyle w:val="Heading1"/>
      </w:pPr>
      <w:r>
        <w:t xml:space="preserve">PLT-TERM-06 · Nutzungsverbote</w:t>
      </w:r>
    </w:p>
    <w:p>
      <w:pPr>
        <w:pStyle w:val="Heading2"/>
      </w:pPr>
      <w:r>
        <w:t xml:space="preserve">PLT-TERM-06-01 · Verweis</w:t>
      </w:r>
    </w:p>
    <w:p>
      <w:r>
        <w:t xml:space="preserve">Ergänzend gilt die Acceptable Use Policy (PLT-AUP). Verstöße können zu Sperrung (RK-007) oder Deaktivierung (RK-008) führen.</w:t>
      </w:r>
    </w:p>
    <w:p>
      <w:pPr>
        <w:pStyle w:val="Heading1"/>
      </w:pPr>
      <w:r>
        <w:t xml:space="preserve">PLT-TERM-07 · Schlussbestimmungen</w:t>
      </w:r>
    </w:p>
    <w:p>
      <w:pPr>
        <w:pStyle w:val="Heading2"/>
      </w:pPr>
      <w:r>
        <w:t xml:space="preserve">PLT-TERM-07-01 · Anwendbares Recht und Gerichtsstand</w:t>
      </w:r>
    </w:p>
    <w:p>
      <w:r>
        <w:t xml:space="preserve">Es gilt deutsches Recht unter Ausschluss des UN-Kaufrechts. Bei Verbrauchern bleiben zwingende Verbraucherschutzvorschriften ihres Wohnsitzstaates unberührt.</w:t>
      </w:r>
    </w:p>
    <w:p>
      <w:r>
        <w:t xml:space="preserve">Gerichtsstand für Kaufleute, juristische Personen des öffentlichen Rechts und öffentlich-rechtliche Sondervermögen ist der Sitz der LeasNet GmbH.</w:t>
      </w:r>
    </w:p>
    <w:p>
      <w:pPr>
        <w:pStyle w:val="Heading2"/>
      </w:pPr>
      <w:r>
        <w:t xml:space="preserve">PLT-TERM-07-02 · Salvatorische Klausel</w:t>
      </w:r>
    </w:p>
    <w:p>
      <w:r>
        <w:t xml:space="preserve">Sollten einzelne Bestimmungen unwirksam sein oder werden, bleibt die Wirksamkeit der übrigen Bestimmungen unberührt.</w:t>
      </w:r>
    </w:p>
    <w:p>
      <w:r>
        <w:br w:type="page"/>
      </w:r>
    </w:p>
    <w:p>
      <w:pPr>
        <w:pStyle w:val="DocTitle"/>
      </w:pPr>
      <w:r>
        <w:t xml:space="preserve">PLT-AUP · Acceptable Use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PLT-AUP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PLT-AUP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BP-13, BP-21</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beschreibt untersagte Nutzungen der Plattform miet.net. Verstöße können zu Warnungen, Sperren, Deaktivierung und rechtlicher Verfolgung führen.</w:t>
      </w:r>
    </w:p>
    <w:p>
      <w:pPr>
        <w:pStyle w:val="Heading1"/>
      </w:pPr>
      <w:r>
        <w:t xml:space="preserve">PLT-AUP-01 · Verbotene Handlungen</w:t>
      </w:r>
    </w:p>
    <w:p>
      <w:pPr>
        <w:pStyle w:val="Heading2"/>
      </w:pPr>
      <w:r>
        <w:t xml:space="preserve">PLT-AUP-01-01 · Rechtsverstöße und Missbrauch</w:t>
      </w:r>
    </w:p>
    <w:p>
      <w:pPr>
        <w:pStyle w:val="ListParagraph"/>
        <w:numPr>
          <w:ilvl w:val="0"/>
          <w:numId w:val="2"/>
        </w:numPr>
      </w:pPr>
      <w:r>
        <w:t xml:space="preserve">Verstoß gegen geltendes Recht, insbesondere Straf-, Verbraucherschutz-, Datenschutz- und Wettbewerbsrecht.</w:t>
      </w:r>
    </w:p>
    <w:p>
      <w:pPr>
        <w:pStyle w:val="ListParagraph"/>
        <w:numPr>
          <w:ilvl w:val="0"/>
          <w:numId w:val="2"/>
        </w:numPr>
      </w:pPr>
      <w:r>
        <w:t xml:space="preserve">Betrug (RK-004), Identitätsdiebstahl, Kartentest (RK-006), Multi-Accounting (RK-005), Umgehung von Sperren.</w:t>
      </w:r>
    </w:p>
    <w:p>
      <w:pPr>
        <w:pStyle w:val="ListParagraph"/>
        <w:numPr>
          <w:ilvl w:val="0"/>
          <w:numId w:val="2"/>
        </w:numPr>
      </w:pPr>
      <w:r>
        <w:t xml:space="preserve">Umgehung technischer Schutzmaßnahmen, unautorisierte Zugriffe, Scraping über die vorgesehenen Schnittstellen hinaus.</w:t>
      </w:r>
    </w:p>
    <w:p>
      <w:pPr>
        <w:pStyle w:val="ListParagraph"/>
        <w:numPr>
          <w:ilvl w:val="0"/>
          <w:numId w:val="2"/>
        </w:numPr>
      </w:pPr>
      <w:r>
        <w:t xml:space="preserve">Belästigung, Diskriminierung, Bedrohung, Hassrede gegenüber Nutzern, Vendoren oder Mitarbeitenden.</w:t>
      </w:r>
    </w:p>
    <w:p>
      <w:pPr>
        <w:pStyle w:val="ListParagraph"/>
        <w:numPr>
          <w:ilvl w:val="0"/>
          <w:numId w:val="2"/>
        </w:numPr>
      </w:pPr>
      <w:r>
        <w:t xml:space="preserve">Missbräuchliche Meldungen, Beschwerden und Bewertungen.</w:t>
      </w:r>
    </w:p>
    <w:p>
      <w:pPr>
        <w:pStyle w:val="Heading2"/>
      </w:pPr>
      <w:r>
        <w:t xml:space="preserve">PLT-AUP-01-02 · Unzulässige Inhalte</w:t>
      </w:r>
    </w:p>
    <w:p>
      <w:r>
        <w:t xml:space="preserve">Nutzer dürfen keine rechtswidrigen, irreführenden, jugendgefährdenden, diskriminierenden oder rechtsverletzenden Inhalte einstellen oder verbreiten.</w:t>
      </w:r>
    </w:p>
    <w:p>
      <w:pPr>
        <w:pStyle w:val="Heading1"/>
      </w:pPr>
      <w:r>
        <w:t xml:space="preserve">PLT-AUP-02 · Verbotene Produkte und Dienstleistungen</w:t>
      </w:r>
    </w:p>
    <w:p>
      <w:pPr>
        <w:pStyle w:val="Heading2"/>
      </w:pPr>
      <w:r>
        <w:t xml:space="preserve">PLT-AUP-02-01 · Prohibited Products</w:t>
      </w:r>
    </w:p>
    <w:p>
      <w:r>
        <w:t xml:space="preserve">Ausgeschlossen sind Waffen, Munition, Sprengstoffe, illegale Drogen, verschreibungspflichtige Medikamente, Alkohol, Tabak, Nachahmungen, Diebesgut, unsichere Produkte, Produkte ohne gesetzlich vorgeschriebene Kennzeichnung, Gefahrgut, Erwachsenprodukte, Tiere und verderbliche Lebensmittel (PR-020, BP-21).</w:t>
      </w:r>
    </w:p>
    <w:p>
      <w:pPr>
        <w:pStyle w:val="Heading1"/>
      </w:pPr>
      <w:r>
        <w:t xml:space="preserve">PLT-AUP-03 · Durchsetzung</w:t>
      </w:r>
    </w:p>
    <w:p>
      <w:pPr>
        <w:pStyle w:val="Heading2"/>
      </w:pPr>
      <w:r>
        <w:t xml:space="preserve">PLT-AUP-03-01 · Maßnahmen</w:t>
      </w:r>
    </w:p>
    <w:p>
      <w:r>
        <w:t xml:space="preserve">Verstöße werden abgestuft geahndet: Warnung, temporäre Sperre, Deaktivierung, Löschung, Anzeige. Bei schweren Verstößen (Betrug, Sicherheitsgefährdung, gesetzeswidrige Inhalte) erfolgt die Sperre sofort und ohne Vorwarnung.</w:t>
      </w:r>
    </w:p>
    <w:p>
      <w:pPr>
        <w:pStyle w:val="Heading2"/>
      </w:pPr>
      <w:r>
        <w:t xml:space="preserve">PLT-AUP-03-02 · Rechtsmittel</w:t>
      </w:r>
    </w:p>
    <w:p>
      <w:r>
        <w:t xml:space="preserve">Betroffene können der Maßnahme über die Portalfunktion und über support@miet.net widersprechen. Das Widerspruchsverfahren richtet sich nach der Community-Rules (PLT-COM) und, sofern DSA-relevant, nach den dortigen Prozessen.</w:t>
      </w:r>
    </w:p>
    <w:p>
      <w:r>
        <w:br w:type="page"/>
      </w:r>
    </w:p>
    <w:p>
      <w:pPr>
        <w:pStyle w:val="DocTitle"/>
      </w:pPr>
      <w:r>
        <w:t xml:space="preserve">PLT-COM · Community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PLT-COM</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BP-05, BP-13, BP-18</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 Community Rules ergänzen die AUP (PLT-AUP) für Interaktionen zwischen Nutzern, Vendoren und der Plattform, insbesondere Bewertungen, Nachrichten und öffentliche Beiträge.</w:t>
      </w:r>
    </w:p>
    <w:p>
      <w:pPr>
        <w:pStyle w:val="Heading1"/>
      </w:pPr>
      <w:r>
        <w:t xml:space="preserve">PLT-COM-01 · Bewertungen und Rezensionen</w:t>
      </w:r>
    </w:p>
    <w:p>
      <w:pPr>
        <w:pStyle w:val="Heading2"/>
      </w:pPr>
      <w:r>
        <w:t xml:space="preserve">PLT-COM-01-01 · Zulässigkeit</w:t>
      </w:r>
    </w:p>
    <w:p>
      <w:r>
        <w:t xml:space="preserve">Bewertungen dürfen nur nach tatsächlicher Miete abgegeben werden. Bewertungen müssen wahrheitsgemäß, sachlich und frei von persönlichen Angriffen sein.</w:t>
      </w:r>
    </w:p>
    <w:p>
      <w:r>
        <w:t xml:space="preserve">Untersagt sind gekaufte, gefälschte oder aus Interessenkonflikten motivierte Bewertungen.</w:t>
      </w:r>
    </w:p>
    <w:p>
      <w:pPr>
        <w:pStyle w:val="Heading2"/>
      </w:pPr>
      <w:r>
        <w:t xml:space="preserve">PLT-COM-01-02 · Moderation</w:t>
      </w:r>
    </w:p>
    <w:p>
      <w:r>
        <w:t xml:space="preserve">Die LeasNet GmbH kann Bewertungen entfernen oder Bearbeitung verlangen, wenn sie gegen diese Regeln oder das Gesetz verstoßen. Vendoren haben ein Widerspruchsrecht (siehe VDR-COM).</w:t>
      </w:r>
    </w:p>
    <w:p>
      <w:pPr>
        <w:pStyle w:val="Heading1"/>
      </w:pPr>
      <w:r>
        <w:t xml:space="preserve">PLT-COM-02 · Kommunikation</w:t>
      </w:r>
    </w:p>
    <w:p>
      <w:pPr>
        <w:pStyle w:val="Heading2"/>
      </w:pPr>
      <w:r>
        <w:t xml:space="preserve">PLT-COM-02-01 · In-App-Nachrichten</w:t>
      </w:r>
    </w:p>
    <w:p>
      <w:r>
        <w:t xml:space="preserve">Kommunikation zwischen Kunden und Vendoren erfolgt grundsätzlich über die Plattformkanäle (VN-010). Die Plattform behält sich vor, Nachrichten zu Sicherheits-, Compliance- und Streitbeilegungszwecken einzusehen und auszuwerten (siehe PLT-DS).</w:t>
      </w:r>
    </w:p>
    <w:p>
      <w:pPr>
        <w:pStyle w:val="Heading1"/>
      </w:pPr>
      <w:r>
        <w:t xml:space="preserve">PLT-COM-03 · Meldeverfahren</w:t>
      </w:r>
    </w:p>
    <w:p>
      <w:pPr>
        <w:pStyle w:val="Heading2"/>
      </w:pPr>
      <w:r>
        <w:t xml:space="preserve">PLT-COM-03-01 · Melden von Inhalten</w:t>
      </w:r>
    </w:p>
    <w:p>
      <w:r>
        <w:t xml:space="preserve">Nutzer können rechtswidrige oder regelwidrige Inhalte über die Meldefunktion melden. Meldungen werden nach dem Beschwerdeverfahren (SU-005) bearbeitet.</w:t>
      </w:r>
    </w:p>
    <w:p>
      <w:r>
        <w:br w:type="page"/>
      </w:r>
    </w:p>
    <w:p>
      <w:pPr>
        <w:pStyle w:val="DocTitle"/>
      </w:pPr>
      <w:r>
        <w:t xml:space="preserve">PLT-SEC · Security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PLT-SEC</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PLT-SEC</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BP-13, BP-15, BP-24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Policy beschreibt den Sicherheitsansatz der LeasNet GmbH auf hoher Ebene. Detaillierte Kontrollen sind im internen Information Security Management System (ISMS) dokumentiert.</w:t>
      </w:r>
    </w:p>
    <w:p>
      <w:pPr>
        <w:pStyle w:val="Heading1"/>
      </w:pPr>
      <w:r>
        <w:t xml:space="preserve">PLT-SEC-01 · Governance</w:t>
      </w:r>
    </w:p>
    <w:p>
      <w:pPr>
        <w:pStyle w:val="Heading2"/>
      </w:pPr>
      <w:r>
        <w:t xml:space="preserve">PLT-SEC-01-01 · Sicherheitsorganisation</w:t>
      </w:r>
    </w:p>
    <w:p>
      <w:r>
        <w:t xml:space="preserve">Verantwortlich für Informationssicherheit ist die Geschäftsführung; sie kann die Steuerung an eine Sicherheitsverantwortliche delegieren.</w:t>
      </w:r>
    </w:p>
    <w:p>
      <w:r>
        <w:t xml:space="preserve">Sicherheitsvorfälle werden nach einem definierten Incident-Response-Prozess behandelt.</w:t>
      </w:r>
    </w:p>
    <w:p>
      <w:pPr>
        <w:pStyle w:val="Heading1"/>
      </w:pPr>
      <w:r>
        <w:t xml:space="preserve">PLT-SEC-02 · Zugriffs- und Identitätsmanagement</w:t>
      </w:r>
    </w:p>
    <w:p>
      <w:pPr>
        <w:pStyle w:val="Heading2"/>
      </w:pPr>
      <w:r>
        <w:t xml:space="preserve">PLT-SEC-02-01 · Rollen und Rechte</w:t>
      </w:r>
    </w:p>
    <w:p>
      <w:r>
        <w:t xml:space="preserve">Zugriffe werden nach dem Prinzip der geringsten Rechte und der Trennung von Verantwortlichkeiten gewährt.</w:t>
      </w:r>
    </w:p>
    <w:p>
      <w:r>
        <w:t xml:space="preserve">Administrative Zugriffe erfordern Mehrfaktor-Authentifizierung und werden protokolliert.</w:t>
      </w:r>
    </w:p>
    <w:p>
      <w:pPr>
        <w:pStyle w:val="Heading1"/>
      </w:pPr>
      <w:r>
        <w:t xml:space="preserve">PLT-SEC-03 · Datenschutz-relevante Sicherheit</w:t>
      </w:r>
    </w:p>
    <w:p>
      <w:pPr>
        <w:pStyle w:val="Heading2"/>
      </w:pPr>
      <w:r>
        <w:t xml:space="preserve">PLT-SEC-03-01 · Verschlüsselung und Härtung</w:t>
      </w:r>
    </w:p>
    <w:p>
      <w:r>
        <w:t xml:space="preserve">Personenbezogene und andere schützenswerte Daten werden im Transport und Ruhezustand nach Stand der Technik geschützt.</w:t>
      </w:r>
    </w:p>
    <w:p>
      <w:r>
        <w:t xml:space="preserve">Systeme werden gehärtet, Patch- und Vulnerability-Management ist etabliert.</w:t>
      </w:r>
    </w:p>
    <w:p>
      <w:pPr>
        <w:pStyle w:val="Heading1"/>
      </w:pPr>
      <w:r>
        <w:t xml:space="preserve">PLT-SEC-04 · Vorfallmanagement</w:t>
      </w:r>
    </w:p>
    <w:p>
      <w:pPr>
        <w:pStyle w:val="Heading2"/>
      </w:pPr>
      <w:r>
        <w:t xml:space="preserve">PLT-SEC-04-01 · Detektion und Reaktion</w:t>
      </w:r>
    </w:p>
    <w:p>
      <w:r>
        <w:t xml:space="preserve">Sicherheitsvorfälle werden über Monitoring, Logs und Meldekanäle erkannt; die Bearbeitung folgt einer klassifizierten Prioritätsmatrix mit Reaktionszeiten.</w:t>
      </w:r>
    </w:p>
    <w:p>
      <w:pPr>
        <w:pStyle w:val="Heading2"/>
      </w:pPr>
      <w:r>
        <w:t xml:space="preserve">PLT-SEC-04-02 · Meldepflichten</w:t>
      </w:r>
    </w:p>
    <w:p>
      <w:r>
        <w:t xml:space="preserve">Meldepflichten nach Art. 33/34 DSGVO und ggf. weiteren Vorschriften werden eingehalten (DA-012).</w:t>
      </w:r>
    </w:p>
    <w:p>
      <w:r>
        <w:br w:type="page"/>
      </w:r>
    </w:p>
    <w:p>
      <w:pPr>
        <w:pStyle w:val="DocTitle"/>
      </w:pPr>
      <w:r>
        <w:t xml:space="preserve">PLT-RDP · Responsible Disclosure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PLT-RDP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PLT-RDP</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BP-13</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beschreibt, wie Sicherheitslücken verantwortungsvoll an die LeasNet GmbH gemeldet werden können, damit sie zeitnah behoben werden.</w:t>
      </w:r>
    </w:p>
    <w:p>
      <w:pPr>
        <w:pStyle w:val="Heading1"/>
      </w:pPr>
      <w:r>
        <w:t xml:space="preserve">PLT-RDP-01 · Geltungsbereich</w:t>
      </w:r>
    </w:p>
    <w:p>
      <w:pPr>
        <w:pStyle w:val="Heading2"/>
      </w:pPr>
      <w:r>
        <w:t xml:space="preserve">PLT-RDP-01-01 · In Scope</w:t>
      </w:r>
    </w:p>
    <w:p>
      <w:pPr>
        <w:pStyle w:val="ListParagraph"/>
        <w:numPr>
          <w:ilvl w:val="0"/>
          <w:numId w:val="2"/>
        </w:numPr>
      </w:pPr>
      <w:r>
        <w:t xml:space="preserve">Alle produktiven Systeme unter *.miet.net.</w:t>
      </w:r>
    </w:p>
    <w:p>
      <w:pPr>
        <w:pStyle w:val="ListParagraph"/>
        <w:numPr>
          <w:ilvl w:val="0"/>
          <w:numId w:val="2"/>
        </w:numPr>
      </w:pPr>
      <w:r>
        <w:t xml:space="preserve">Öffentliche APIs der Plattform.</w:t>
      </w:r>
    </w:p>
    <w:p>
      <w:pPr>
        <w:pStyle w:val="ListParagraph"/>
        <w:numPr>
          <w:ilvl w:val="0"/>
          <w:numId w:val="2"/>
        </w:numPr>
      </w:pPr>
      <w:r>
        <w:t xml:space="preserve">Mobile und Web-Clients der Plattform.</w:t>
      </w:r>
    </w:p>
    <w:p>
      <w:pPr>
        <w:pStyle w:val="Heading2"/>
      </w:pPr>
      <w:r>
        <w:t xml:space="preserve">PLT-RDP-01-02 · Out of Scope</w:t>
      </w:r>
    </w:p>
    <w:p>
      <w:pPr>
        <w:pStyle w:val="ListParagraph"/>
        <w:numPr>
          <w:ilvl w:val="0"/>
          <w:numId w:val="2"/>
        </w:numPr>
      </w:pPr>
      <w:r>
        <w:t xml:space="preserve">Systeme und Konten Dritter (z. B. Vendor-Systeme).</w:t>
      </w:r>
    </w:p>
    <w:p>
      <w:pPr>
        <w:pStyle w:val="ListParagraph"/>
        <w:numPr>
          <w:ilvl w:val="0"/>
          <w:numId w:val="2"/>
        </w:numPr>
      </w:pPr>
      <w:r>
        <w:t xml:space="preserve">DoS/DDoS-Angriffe, Social Engineering, physische Angriffe.</w:t>
      </w:r>
    </w:p>
    <w:p>
      <w:pPr>
        <w:pStyle w:val="ListParagraph"/>
        <w:numPr>
          <w:ilvl w:val="0"/>
          <w:numId w:val="2"/>
        </w:numPr>
      </w:pPr>
      <w:r>
        <w:t xml:space="preserve">Rein theoretische Findings ohne Reproduktion.</w:t>
      </w:r>
    </w:p>
    <w:p>
      <w:pPr>
        <w:pStyle w:val="Heading1"/>
      </w:pPr>
      <w:r>
        <w:t xml:space="preserve">PLT-RDP-02 · Meldung</w:t>
      </w:r>
    </w:p>
    <w:p>
      <w:pPr>
        <w:pStyle w:val="Heading2"/>
      </w:pPr>
      <w:r>
        <w:t xml:space="preserve">PLT-RDP-02-01 · Kanal</w:t>
      </w:r>
    </w:p>
    <w:p>
      <w:r>
        <w:t xml:space="preserve">Meldungen bitte per PGP-verschlüsselter E-Mail an security@miet.net (Public Key wird im Trust Center veröffentlicht).</w:t>
      </w:r>
    </w:p>
    <w:p>
      <w:pPr>
        <w:pStyle w:val="Heading2"/>
      </w:pPr>
      <w:r>
        <w:t xml:space="preserve">PLT-RDP-02-02 · Verhaltensregeln</w:t>
      </w:r>
    </w:p>
    <w:p>
      <w:pPr>
        <w:pStyle w:val="ListParagraph"/>
        <w:numPr>
          <w:ilvl w:val="0"/>
          <w:numId w:val="2"/>
        </w:numPr>
      </w:pPr>
      <w:r>
        <w:t xml:space="preserve">Keine Ausweitung des Zugriffs über das für den Nachweis Notwendige hinaus.</w:t>
      </w:r>
    </w:p>
    <w:p>
      <w:pPr>
        <w:pStyle w:val="ListParagraph"/>
        <w:numPr>
          <w:ilvl w:val="0"/>
          <w:numId w:val="2"/>
        </w:numPr>
      </w:pPr>
      <w:r>
        <w:t xml:space="preserve">Keine Veröffentlichung vor koordinierter Freigabe.</w:t>
      </w:r>
    </w:p>
    <w:p>
      <w:pPr>
        <w:pStyle w:val="ListParagraph"/>
        <w:numPr>
          <w:ilvl w:val="0"/>
          <w:numId w:val="2"/>
        </w:numPr>
      </w:pPr>
      <w:r>
        <w:t xml:space="preserve">Keine Kompromittierung von Daten Dritter.</w:t>
      </w:r>
    </w:p>
    <w:p>
      <w:pPr>
        <w:pStyle w:val="Heading1"/>
      </w:pPr>
      <w:r>
        <w:t xml:space="preserve">PLT-RDP-03 · Zusagen der LeasNet GmbH</w:t>
      </w:r>
    </w:p>
    <w:p>
      <w:pPr>
        <w:pStyle w:val="Heading2"/>
      </w:pPr>
      <w:r>
        <w:t xml:space="preserve">PLT-RDP-03-01 · Safe Harbor</w:t>
      </w:r>
    </w:p>
    <w:p>
      <w:r>
        <w:t xml:space="preserve">Meldungen, die diese Richtlinie einhalten, werden nicht rechtlich verfolgt; die LeasNet GmbH beantwortet Meldungen zeitnah, koordiniert die Behebung und würdigt die Meldenden auf Wunsch in einer Hall of Fame.</w:t>
      </w:r>
    </w:p>
    <w:p>
      <w:r>
        <w:t xml:space="preserve">Ein monetäres Bug-Bounty-Programm besteht derzeit nicht; eine Aufnahme wird geprüft.</w:t>
      </w:r>
    </w:p>
    <w:p>
      <w:r>
        <w:br w:type="page"/>
      </w:r>
    </w:p>
    <w:p>
      <w:pPr>
        <w:pStyle w:val="DocTitle"/>
      </w:pPr>
      <w:r>
        <w:t xml:space="preserve">PLT-KYC · KYC- und Identifikationsrichtlinie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Feld</w:t>
            </w:r>
          </w:p>
        </w:tc>
        <w:tc>
          <w:tcPr>
            <w:tcW w:type="dxa" w:w="63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Wert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Dokument-ID</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PLT-KYC</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Version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Inkrafttreten</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Rechtsträger</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LeasNet GmbH</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Klausel-ID-Präfix</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PLT-KYC</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Referenziert Blueprint</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BP-14</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Status</w:t>
            </w:r>
          </w:p>
        </w:tc>
        <w:tc>
          <w:tcPr>
            <w:tcW w:type="dxa" w:w="63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Entwurf — anwaltliche Freigabe ausstehend</w:t>
            </w:r>
          </w:p>
        </w:tc>
      </w:tr>
    </w:tbl>
    <w:p>
      <w:pPr>
        <w:spacing w:after="200"/>
      </w:pPr>
      <w:r>
        <w:t xml:space="preserve"/>
      </w:r>
    </w:p>
    <w:p>
      <w:r>
        <w:t xml:space="preserve">Diese Richtlinie beschreibt, wann und wie die LeasNet GmbH die Identität von Nutzern und Vertragspartnern prüft. Sie setzt geldwäscherechtliche und betriebswirtschaftliche Anforderungen um.</w:t>
      </w:r>
    </w:p>
    <w:p>
      <w:pPr>
        <w:pStyle w:val="Heading1"/>
      </w:pPr>
      <w:r>
        <w:t xml:space="preserve">PLT-KYC-01 · Prüfstufen</w:t>
      </w:r>
    </w:p>
    <w:p>
      <w:pPr>
        <w:pStyle w:val="Heading2"/>
      </w:pPr>
      <w:r>
        <w:t xml:space="preserve">PLT-KYC-01-01 · Basis-Verifikation</w:t>
      </w:r>
    </w:p>
    <w:p>
      <w:r>
        <w:t xml:space="preserve">Für alle Konten: Verifikation per E-Mail und optional Mobilnummer (ID-002).</w:t>
      </w:r>
    </w:p>
    <w:p>
      <w:pPr>
        <w:pStyle w:val="Heading2"/>
      </w:pPr>
      <w:r>
        <w:t xml:space="preserve">PLT-KYC-01-02 · Erweiterte Verifikation</w:t>
      </w:r>
    </w:p>
    <w:p>
      <w:r>
        <w:t xml:space="preserve">Für Verbraucher ab definierten Schwellenwerten (z. B. Warenwert, Vertragsdauer): Identitätsprüfung nach ID-003 und Alter-Verifikation nach ID-004.</w:t>
      </w:r>
    </w:p>
    <w:p>
      <w:pPr>
        <w:pStyle w:val="Heading2"/>
      </w:pPr>
      <w:r>
        <w:t xml:space="preserve">PLT-KYC-01-03 · Vollständige KYC (Vendor, Business)</w:t>
      </w:r>
    </w:p>
    <w:p>
      <w:r>
        <w:t xml:space="preserve">Für Vendoren und Business-Organisationen: Identitäts-, Unternehmens- und Vertretungsprüfung (ID-006, ID-007, ID-012), Feststellung wirtschaftlich Berechtigter (ID-008), PEP-Screening (ID-009) und Sanktionslisten-Prüfung (ID-010).</w:t>
      </w:r>
    </w:p>
    <w:p>
      <w:pPr>
        <w:pStyle w:val="Heading1"/>
      </w:pPr>
      <w:r>
        <w:t xml:space="preserve">PLT-KYC-02 · Auslöser und Wiedervorlage</w:t>
      </w:r>
    </w:p>
    <w:p>
      <w:pPr>
        <w:pStyle w:val="Heading2"/>
      </w:pPr>
      <w:r>
        <w:t xml:space="preserve">PLT-KYC-02-01 · Auslöser</w:t>
      </w:r>
    </w:p>
    <w:p>
      <w:r>
        <w:t xml:space="preserve">Verifikation kann anlassbezogen erneut angefordert werden (z. B. bei Verdacht auf Missbrauch, bei Änderungen der Vertretungsverhältnisse, bei Erreichen bestimmter Umsatzschwellen).</w:t>
      </w:r>
    </w:p>
    <w:p>
      <w:pPr>
        <w:pStyle w:val="Heading2"/>
      </w:pPr>
      <w:r>
        <w:t xml:space="preserve">PLT-KYC-02-02 · Wiedervorlage</w:t>
      </w:r>
    </w:p>
    <w:p>
      <w:r>
        <w:t xml:space="preserve">Verifikationen tragen Ablaufdaten und werden nach definierten Zyklen erneuert (ID-011).</w:t>
      </w:r>
    </w:p>
    <w:p>
      <w:pPr>
        <w:pStyle w:val="Heading1"/>
      </w:pPr>
      <w:r>
        <w:t xml:space="preserve">PLT-KYC-03 · Verweigerung und Beendigung</w:t>
      </w:r>
    </w:p>
    <w:p>
      <w:pPr>
        <w:pStyle w:val="Heading2"/>
      </w:pPr>
      <w:r>
        <w:t xml:space="preserve">PLT-KYC-03-01 · Konsequenzen</w:t>
      </w:r>
    </w:p>
    <w:p>
      <w:r>
        <w:t xml:space="preserve">Ohne erfolgreiche Verifikation können bestimmte Funktionen (insb. hochwertige Mieten, Auszahlungen an Vendor) nicht genutzt werden. Bei negativen Ergebnissen behält sich die LeasNet GmbH Sperre und Kündigung vor.</w:t>
      </w:r>
    </w:p>
    <w:p>
      <w:r>
        <w:br w:type="page"/>
      </w:r>
    </w:p>
    <w:p>
      <w:pPr>
        <w:pStyle w:val="Heading1"/>
      </w:pPr>
      <w:r>
        <w:t xml:space="preserve">Änderungshistorie (Paket)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4700"/>
        <w:gridCol w:w="166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Version</w:t>
            </w:r>
          </w:p>
        </w:tc>
        <w:tc>
          <w:tcPr>
            <w:tcW w:type="dxa" w:w="16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Datum</w:t>
            </w:r>
          </w:p>
        </w:tc>
        <w:tc>
          <w:tcPr>
            <w:tcW w:type="dxa" w:w="47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Änderung</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Autor / Freigabe</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c>
          <w:tcPr>
            <w:tcW w:type="dxa" w:w="16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c>
          <w:tcPr>
            <w:tcW w:type="dxa" w:w="47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Erstversion des Pakets "Platform-Dokumente".</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Legal Governance Board (Entwurf)</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LeasNet GmbH · Platform-Dokumente v1.0</w:t>
    </w:r>
    <w:r>
      <w:rPr>
        <w:color w:val="888888"/>
        <w:sz w:val="18"/>
        <w:szCs w:val="18"/>
      </w:rPr>
      <w:t xml:space="preserve">	Seite </w:t>
    </w: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88888"/>
        <w:sz w:val="18"/>
        <w:szCs w:val="18"/>
      </w:rPr>
      <w:t xml:space="preserve">LeasNet GmbH · miet.net</w:t>
    </w:r>
    <w:r>
      <w:rPr>
        <w:color w:val="888888"/>
        <w:sz w:val="18"/>
        <w:szCs w:val="18"/>
      </w:rPr>
      <w:t xml:space="preserve">	Platform-Dokumente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pPr>
    <w:rPr>
      <w:rFonts w:ascii="Arial" w:cs="Arial" w:eastAsia="Arial" w:hAnsi="Arial"/>
      <w:b/>
      <w:bCs/>
      <w:sz w:val="52"/>
      <w:szCs w:val="52"/>
    </w:rPr>
  </w:style>
  <w:style w:type="paragraph" w:styleId="Subtitle">
    <w:name w:val="Subtitle"/>
    <w:basedOn w:val="Normal"/>
    <w:next w:val="Normal"/>
    <w:qFormat/>
    <w:pPr>
      <w:spacing w:after="240" w:before="0"/>
    </w:pPr>
    <w:rPr>
      <w:rFonts w:ascii="Arial" w:cs="Arial" w:eastAsia="Arial" w:hAnsi="Arial"/>
      <w:color w:val="555555"/>
      <w:sz w:val="26"/>
      <w:szCs w:val="26"/>
    </w:rPr>
  </w:style>
  <w:style w:type="paragraph" w:styleId="DocTitle">
    <w:name w:val="DocTitle"/>
    <w:basedOn w:val="Normal"/>
    <w:next w:val="Normal"/>
    <w:pPr>
      <w:spacing w:after="200" w:before="480"/>
      <w:outlineLvl w:val="0"/>
    </w:pPr>
    <w:rPr>
      <w:rFonts w:ascii="Arial" w:cs="Arial" w:eastAsia="Arial" w:hAnsi="Arial"/>
      <w:b/>
      <w:bCs/>
      <w:color w:val="1A3E75"/>
      <w:sz w:val="40"/>
      <w:szCs w:val="40"/>
    </w:rPr>
  </w:style>
  <w:style w:type="paragraph" w:styleId="Heading1">
    <w:name w:val="Heading 1"/>
    <w:basedOn w:val="Normal"/>
    <w:next w:val="Normal"/>
    <w:qFormat/>
    <w:pPr>
      <w:spacing w:after="160" w:before="320"/>
      <w:outlineLvl w:val="1"/>
    </w:pPr>
    <w:rPr>
      <w:rFonts w:ascii="Arial" w:cs="Arial" w:eastAsia="Arial" w:hAnsi="Arial"/>
      <w:b/>
      <w:bCs/>
      <w:sz w:val="30"/>
      <w:szCs w:val="30"/>
    </w:rPr>
  </w:style>
  <w:style w:type="paragraph" w:styleId="Heading2">
    <w:name w:val="Heading 2"/>
    <w:basedOn w:val="Normal"/>
    <w:next w:val="Normal"/>
    <w:qFormat/>
    <w:pPr>
      <w:spacing w:after="120" w:before="220"/>
      <w:outlineLvl w:val="2"/>
    </w:pPr>
    <w:rPr>
      <w:rFonts w:ascii="Arial" w:cs="Arial" w:eastAsia="Arial" w:hAnsi="Arial"/>
      <w:b/>
      <w:bCs/>
      <w:sz w:val="24"/>
      <w:szCs w:val="24"/>
    </w:rPr>
  </w:style>
  <w:style w:type="paragraph" w:styleId="Heading3">
    <w:name w:val="Heading 3"/>
    <w:basedOn w:val="Normal"/>
    <w:next w:val="Normal"/>
    <w:qFormat/>
    <w:pPr>
      <w:spacing w:after="80" w:before="180"/>
      <w:outlineLvl w:val="3"/>
    </w:pPr>
    <w:rPr>
      <w:rFonts w:ascii="Arial" w:cs="Arial" w:eastAsia="Arial" w:hAnsi="Arial"/>
      <w:b/>
      <w:bCs/>
      <w:sz w:val="22"/>
      <w:szCs w:val="22"/>
    </w:rPr>
  </w:style>
  <w:style w:type="paragraph" w:styleId="Caption">
    <w:name w:val="Caption"/>
    <w:basedOn w:val="Normal"/>
    <w:next w:val="Normal"/>
    <w:pPr>
      <w:spacing w:after="120" w:before="0"/>
    </w:pPr>
    <w:rPr>
      <w:rFonts w:ascii="Arial" w:cs="Arial" w:eastAsia="Arial" w:hAnsi="Arial"/>
      <w:i/>
      <w:iCs/>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Platform-Dokumente</dc:title>
  <dc:creator>LeasNet GmbH</dc:creator>
  <cp:lastModifiedBy>Un-named</cp:lastModifiedBy>
  <cp:revision>1</cp:revision>
  <dcterms:created xsi:type="dcterms:W3CDTF">2026-07-17T08:40:59.827Z</dcterms:created>
  <dcterms:modified xsi:type="dcterms:W3CDTF">2026-07-17T08:40:59.827Z</dcterms:modified>
</cp:coreProperties>
</file>

<file path=docProps/custom.xml><?xml version="1.0" encoding="utf-8"?>
<Properties xmlns="http://schemas.openxmlformats.org/officeDocument/2006/custom-properties" xmlns:vt="http://schemas.openxmlformats.org/officeDocument/2006/docPropsVTypes"/>
</file>