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r>
        <w:t xml:space="preserve"/>
      </w:r>
    </w:p>
    <w:p>
      <w:pPr>
        <w:jc w:val="left"/>
      </w:pPr>
      <w:r>
        <w:rPr>
          <w:rFonts w:ascii="Arial" w:cs="Arial" w:eastAsia="Arial" w:hAnsi="Arial"/>
          <w:color w:val="666666"/>
          <w:sz w:val="22"/>
          <w:szCs w:val="22"/>
        </w:rPr>
        <w:t xml:space="preserve">LeasNet GmbH · miet.net</w:t>
      </w:r>
    </w:p>
    <w:p>
      <w:pPr>
        <w:spacing w:after="400"/>
        <w:jc w:val="left"/>
      </w:pPr>
      <w:r>
        <w:rPr>
          <w:rFonts w:ascii="Arial" w:cs="Arial" w:eastAsia="Arial" w:hAnsi="Arial"/>
          <w:b/>
          <w:bCs/>
          <w:color w:val="1A3E75"/>
          <w:sz w:val="22"/>
          <w:szCs w:val="22"/>
        </w:rPr>
        <w:t xml:space="preserve">Referenzdokument · Iteration 1 von n</w:t>
      </w:r>
    </w:p>
    <w:p>
      <w:pPr>
        <w:pStyle w:val="Title"/>
      </w:pPr>
      <w:r>
        <w:t xml:space="preserve">Definitions-Katalog</w:t>
      </w:r>
    </w:p>
    <w:p>
      <w:pPr>
        <w:pStyle w:val="Subtitle"/>
      </w:pPr>
      <w:r>
        <w:t xml:space="preserve">280 verbindliche Definitionen des Legal Frameworks</w:t>
      </w:r>
    </w:p>
    <w:p>
      <w:pPr>
        <w:spacing w:after="1200"/>
      </w:pPr>
      <w:r>
        <w:t xml:space="preserve"/>
      </w:r>
    </w:p>
    <w:p>
      <w:r>
        <w:rPr>
          <w:b/>
          <w:bCs/>
        </w:rPr>
        <w:t xml:space="preserve">Version 1.0 · Sprache: Deutsch (kanonisch) · Sprachneutrale IDs für 1:1-Übersetzung</w:t>
      </w:r>
    </w:p>
    <w:p>
      <w:r>
        <w:t xml:space="preserve">Status: Entwurf für anwaltliche Prüfung · Erstellt am: 2026-07-17</w:t>
      </w:r>
    </w:p>
    <w:p>
      <w:r>
        <w:t xml:space="preserve">Owner: Legal Governance Board der LeasNet GmbH</w:t>
      </w:r>
    </w:p>
    <w:p>
      <w:r>
        <w:rPr>
          <w:i/>
          <w:iCs/>
          <w:color w:val="666666"/>
        </w:rPr>
        <w:t xml:space="preserve">Verbindlich für alle kundenseitigen Dokumente. Jede Änderung erfordert Blueprint-Konsistenzprüfung.</w:t>
      </w:r>
    </w:p>
    <w:p>
      <w:r>
        <w:br w:type="page"/>
      </w:r>
    </w:p>
    <w:p>
      <w:pPr>
        <w:pStyle w:val="Heading1"/>
      </w:pPr>
      <w:r>
        <w:t xml:space="preserve">Über dieses Dokument</w:t>
      </w:r>
    </w:p>
    <w:p>
      <w:r>
        <w:t xml:space="preserve">Dieser Katalog enthält 280 verbindliche Definitionen, die von allen Rechtsdokumenten der Plattform miet.net (Betreiberin: LeasNet GmbH) verwendet werden. Jede Definition trägt eine sprach-neutrale Klausel-ID (z. B. PL-001, RM-002, DP-005), damit Verweise aus anderen Dokumenten sprachunabhängig stabil bleiben.</w:t>
      </w:r>
    </w:p>
    <w:p>
      <w:r>
        <w:t xml:space="preserve">Änderungen an einer Definition dürfen nur nach Freigabe durch das Legal Governance Board und Prüfung aller referenzierenden Dokumente erfolgen (siehe Blueprint, Kapitel BP-28).</w:t>
      </w:r>
    </w:p>
    <w:p>
      <w:pPr>
        <w:pBdr>
          <w:bottom w:val="single" w:color="CCCCCC" w:sz="6" w:space="4"/>
        </w:pBdr>
        <w:spacing w:after="240" w:before="120"/>
      </w:pPr>
      <w:r>
        <w:t xml:space="preserve"/>
      </w:r>
    </w:p>
    <w:p>
      <w:pPr>
        <w:pStyle w:val="Heading1"/>
      </w:pPr>
      <w:r>
        <w:t xml:space="preserve">Kategorie-Übersicht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500"/>
        <w:gridCol w:w="1660"/>
      </w:tblGrid>
      <w:tr>
        <w:tc>
          <w:tcPr>
            <w:tcW w:type="dxa" w:w="12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Code</w:t>
            </w:r>
          </w:p>
        </w:tc>
        <w:tc>
          <w:tcPr>
            <w:tcW w:type="dxa" w:w="65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Kategorie</w:t>
            </w:r>
          </w:p>
        </w:tc>
        <w:tc>
          <w:tcPr>
            <w:tcW w:type="dxa" w:w="16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Anzahl</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Plattform &amp; Rechtsträger</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Rollen &amp; Parteien</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17</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Produkt &amp; Asset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Buchung, Reservierung, Miete</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 &amp; Vertragsmodelle</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 Abrechnung &amp; Steuer</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36</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 &amp; Sicherheit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Schaden, Verschleiß &amp; Verlust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24</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Lager &amp; Fulfillment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18</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Identität, KYC &amp; Verifikation</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14</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Business / B2B</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15</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 / Marketplace</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15</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 Datenschutz &amp; Consent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Compliance &amp; Regulatorik</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18</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Risiko, Missbrauch &amp; Betrug</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Support &amp; Streitbeilegung</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8</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Consent, Versionierung &amp; Änderung</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7</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w:t>
            </w:r>
          </w:p>
        </w:tc>
        <w:tc>
          <w:tcPr>
            <w:tcW w:type="dxa" w:w="65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Dokumente &amp; Klausel-System</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8</w:t>
            </w:r>
          </w:p>
        </w:tc>
      </w:tr>
    </w:tbl>
    <w:p>
      <w:r>
        <w:br w:type="page"/>
      </w:r>
    </w:p>
    <w:p>
      <w:pPr>
        <w:pStyle w:val="Heading1"/>
      </w:pPr>
      <w:r>
        <w:t xml:space="preserve">Definitionen</w:t>
      </w:r>
    </w:p>
    <w:p>
      <w:pPr>
        <w:pStyle w:val="Heading2"/>
      </w:pPr>
      <w:r>
        <w:t xml:space="preserve">PL · Plattform &amp; Rechtsträger</w:t>
      </w:r>
    </w:p>
    <w:p>
      <w:pPr>
        <w:spacing w:after="40" w:before="160"/>
      </w:pPr>
      <w:r>
        <w:rPr>
          <w:b/>
          <w:bCs/>
          <w:color w:val="1A3E75"/>
          <w:sz w:val="22"/>
          <w:szCs w:val="22"/>
        </w:rPr>
        <w:t xml:space="preserve">PL-001  </w:t>
      </w:r>
      <w:r>
        <w:rPr>
          <w:b/>
          <w:bCs/>
          <w:sz w:val="22"/>
          <w:szCs w:val="22"/>
        </w:rPr>
        <w:t xml:space="preserve">LeasNet GmbH</w:t>
      </w:r>
      <w:r>
        <w:rPr>
          <w:i/>
          <w:iCs/>
          <w:color w:val="666666"/>
          <w:sz w:val="20"/>
          <w:szCs w:val="20"/>
        </w:rPr>
        <w:t xml:space="preserve">  —  LeasNet GmbH</w:t>
      </w:r>
    </w:p>
    <w:p>
      <w:pPr>
        <w:spacing w:after="120"/>
      </w:pPr>
      <w:r>
        <w:rPr>
          <w:sz w:val="21"/>
          <w:szCs w:val="21"/>
        </w:rPr>
        <w:t xml:space="preserve">Die LeasNet GmbH mit Sitz in Deutschland, eingetragen im Handelsregister, ist der Rechtsträger sämtlicher unter diesem Legal Framework beschriebenen Dienste. Sie ist Betreiberin der Plattformen unter der Marke „miet.net“ und tritt in Direct-Rental-Konstellationen zugleich als Vermieterin auf.</w:t>
      </w:r>
    </w:p>
    <w:p>
      <w:pPr>
        <w:spacing w:after="40" w:before="160"/>
      </w:pPr>
      <w:r>
        <w:rPr>
          <w:b/>
          <w:bCs/>
          <w:color w:val="1A3E75"/>
          <w:sz w:val="22"/>
          <w:szCs w:val="22"/>
        </w:rPr>
        <w:t xml:space="preserve">PL-002  </w:t>
      </w:r>
      <w:r>
        <w:rPr>
          <w:b/>
          <w:bCs/>
          <w:sz w:val="22"/>
          <w:szCs w:val="22"/>
        </w:rPr>
        <w:t xml:space="preserve">miet.net</w:t>
      </w:r>
      <w:r>
        <w:rPr>
          <w:i/>
          <w:iCs/>
          <w:color w:val="666666"/>
          <w:sz w:val="20"/>
          <w:szCs w:val="20"/>
        </w:rPr>
        <w:t xml:space="preserve">  —  miet.net</w:t>
      </w:r>
    </w:p>
    <w:p>
      <w:pPr>
        <w:spacing w:after="120"/>
      </w:pPr>
      <w:r>
        <w:rPr>
          <w:sz w:val="21"/>
          <w:szCs w:val="21"/>
        </w:rPr>
        <w:t xml:space="preserve">Handels- und Marketplace-Marke der LeasNet GmbH. Alle kundenseitigen Oberflächen (Verbraucher-, Business- und Vendor-Portale) werden unter dieser Marke betrieben. „miet.net“ ist keine eigene juristische Person.</w:t>
      </w:r>
    </w:p>
    <w:p>
      <w:pPr>
        <w:spacing w:after="40" w:before="160"/>
      </w:pPr>
      <w:r>
        <w:rPr>
          <w:b/>
          <w:bCs/>
          <w:color w:val="1A3E75"/>
          <w:sz w:val="22"/>
          <w:szCs w:val="22"/>
        </w:rPr>
        <w:t xml:space="preserve">PL-003  </w:t>
      </w:r>
      <w:r>
        <w:rPr>
          <w:b/>
          <w:bCs/>
          <w:sz w:val="22"/>
          <w:szCs w:val="22"/>
        </w:rPr>
        <w:t xml:space="preserve">Plattform</w:t>
      </w:r>
      <w:r>
        <w:rPr>
          <w:i/>
          <w:iCs/>
          <w:color w:val="666666"/>
          <w:sz w:val="20"/>
          <w:szCs w:val="20"/>
        </w:rPr>
        <w:t xml:space="preserve">  —  Platform</w:t>
      </w:r>
    </w:p>
    <w:p>
      <w:pPr>
        <w:spacing w:after="120"/>
      </w:pPr>
      <w:r>
        <w:rPr>
          <w:sz w:val="21"/>
          <w:szCs w:val="21"/>
        </w:rPr>
        <w:t xml:space="preserve">Die Gesamtheit der von der LeasNet GmbH bereitgestellten digitalen Dienste, Portale, APIs und operativen Prozesse, einschließlich Bestell-, Miet-, Zahlungs-, Kautions-, Rückgabe- und Support-Abwicklung.</w:t>
      </w:r>
    </w:p>
    <w:p>
      <w:pPr>
        <w:spacing w:after="40" w:before="160"/>
      </w:pPr>
      <w:r>
        <w:rPr>
          <w:b/>
          <w:bCs/>
          <w:color w:val="1A3E75"/>
          <w:sz w:val="22"/>
          <w:szCs w:val="22"/>
        </w:rPr>
        <w:t xml:space="preserve">PL-004  </w:t>
      </w:r>
      <w:r>
        <w:rPr>
          <w:b/>
          <w:bCs/>
          <w:sz w:val="22"/>
          <w:szCs w:val="22"/>
        </w:rPr>
        <w:t xml:space="preserve">Öffentliche Marketplace-Website</w:t>
      </w:r>
      <w:r>
        <w:rPr>
          <w:i/>
          <w:iCs/>
          <w:color w:val="666666"/>
          <w:sz w:val="20"/>
          <w:szCs w:val="20"/>
        </w:rPr>
        <w:t xml:space="preserve">  —  Public Marketplace Website</w:t>
      </w:r>
    </w:p>
    <w:p>
      <w:pPr>
        <w:spacing w:after="120"/>
      </w:pPr>
      <w:r>
        <w:rPr>
          <w:sz w:val="21"/>
          <w:szCs w:val="21"/>
        </w:rPr>
        <w:t xml:space="preserve">Öffentlich zugängliche Website unter miet.net, auf der Miet-Angebote von LeasNet Direct und Vendoren gemeinsam auffindbar sind.</w:t>
      </w:r>
    </w:p>
    <w:p>
      <w:pPr>
        <w:spacing w:after="40" w:before="160"/>
      </w:pPr>
      <w:r>
        <w:rPr>
          <w:b/>
          <w:bCs/>
          <w:color w:val="1A3E75"/>
          <w:sz w:val="22"/>
          <w:szCs w:val="22"/>
        </w:rPr>
        <w:t xml:space="preserve">PL-005  </w:t>
      </w:r>
      <w:r>
        <w:rPr>
          <w:b/>
          <w:bCs/>
          <w:sz w:val="22"/>
          <w:szCs w:val="22"/>
        </w:rPr>
        <w:t xml:space="preserve">Privatkunden-Portal</w:t>
      </w:r>
      <w:r>
        <w:rPr>
          <w:i/>
          <w:iCs/>
          <w:color w:val="666666"/>
          <w:sz w:val="20"/>
          <w:szCs w:val="20"/>
        </w:rPr>
        <w:t xml:space="preserve">  —  Private Customer Portal</w:t>
      </w:r>
    </w:p>
    <w:p>
      <w:pPr>
        <w:spacing w:after="120"/>
      </w:pPr>
      <w:r>
        <w:rPr>
          <w:sz w:val="21"/>
          <w:szCs w:val="21"/>
        </w:rPr>
        <w:t xml:space="preserve">Angemeldeter Bereich unter account.miet.net für Verbraucher; enthält Mietübersicht, Verträge, Rechnungen, Kautionen und Support-Fälle.</w:t>
      </w:r>
    </w:p>
    <w:p>
      <w:pPr>
        <w:spacing w:after="40" w:before="160"/>
      </w:pPr>
      <w:r>
        <w:rPr>
          <w:b/>
          <w:bCs/>
          <w:color w:val="1A3E75"/>
          <w:sz w:val="22"/>
          <w:szCs w:val="22"/>
        </w:rPr>
        <w:t xml:space="preserve">PL-006  </w:t>
      </w:r>
      <w:r>
        <w:rPr>
          <w:b/>
          <w:bCs/>
          <w:sz w:val="22"/>
          <w:szCs w:val="22"/>
        </w:rPr>
        <w:t xml:space="preserve">Business-Portal</w:t>
      </w:r>
      <w:r>
        <w:rPr>
          <w:i/>
          <w:iCs/>
          <w:color w:val="666666"/>
          <w:sz w:val="20"/>
          <w:szCs w:val="20"/>
        </w:rPr>
        <w:t xml:space="preserve">  —  Business Portal</w:t>
      </w:r>
    </w:p>
    <w:p>
      <w:pPr>
        <w:spacing w:after="120"/>
      </w:pPr>
      <w:r>
        <w:rPr>
          <w:sz w:val="21"/>
          <w:szCs w:val="21"/>
        </w:rPr>
        <w:t xml:space="preserve">Angemeldeter Bereich unter business.miet.net für Geschäftskunden; enthält Teamverwaltung, Budgets, Freigaben, Bestellungen, Kostenstellen, Projekte und geschäftliche Miet- und Rechnungsvorgänge.</w:t>
      </w:r>
    </w:p>
    <w:p>
      <w:pPr>
        <w:spacing w:after="40" w:before="160"/>
      </w:pPr>
      <w:r>
        <w:rPr>
          <w:b/>
          <w:bCs/>
          <w:color w:val="1A3E75"/>
          <w:sz w:val="22"/>
          <w:szCs w:val="22"/>
        </w:rPr>
        <w:t xml:space="preserve">PL-007  </w:t>
      </w:r>
      <w:r>
        <w:rPr>
          <w:b/>
          <w:bCs/>
          <w:sz w:val="22"/>
          <w:szCs w:val="22"/>
        </w:rPr>
        <w:t xml:space="preserve">Vendor-Portal</w:t>
      </w:r>
      <w:r>
        <w:rPr>
          <w:i/>
          <w:iCs/>
          <w:color w:val="666666"/>
          <w:sz w:val="20"/>
          <w:szCs w:val="20"/>
        </w:rPr>
        <w:t xml:space="preserve">  —  Vendor Portal</w:t>
      </w:r>
    </w:p>
    <w:p>
      <w:pPr>
        <w:spacing w:after="120"/>
      </w:pPr>
      <w:r>
        <w:rPr>
          <w:sz w:val="21"/>
          <w:szCs w:val="21"/>
        </w:rPr>
        <w:t xml:space="preserve">Angemeldeter Bereich unter vendor.miet.net für gewerbliche Vermieter (Vendor); enthält Listing-, Warenkorb-Freigabe-, Verfügbarkeits-, Kommunikations- und Abrechnungsfunktionen.</w:t>
      </w:r>
    </w:p>
    <w:p>
      <w:pPr>
        <w:spacing w:after="40" w:before="160"/>
      </w:pPr>
      <w:r>
        <w:rPr>
          <w:b/>
          <w:bCs/>
          <w:color w:val="1A3E75"/>
          <w:sz w:val="22"/>
          <w:szCs w:val="22"/>
        </w:rPr>
        <w:t xml:space="preserve">PL-008  </w:t>
      </w:r>
      <w:r>
        <w:rPr>
          <w:b/>
          <w:bCs/>
          <w:sz w:val="22"/>
          <w:szCs w:val="22"/>
        </w:rPr>
        <w:t xml:space="preserve">Warehouse-Portal</w:t>
      </w:r>
      <w:r>
        <w:rPr>
          <w:i/>
          <w:iCs/>
          <w:color w:val="666666"/>
          <w:sz w:val="20"/>
          <w:szCs w:val="20"/>
        </w:rPr>
        <w:t xml:space="preserve">  —  Warehouse Operations Portal</w:t>
      </w:r>
    </w:p>
    <w:p>
      <w:pPr>
        <w:spacing w:after="120"/>
      </w:pPr>
      <w:r>
        <w:rPr>
          <w:sz w:val="21"/>
          <w:szCs w:val="21"/>
        </w:rPr>
        <w:t xml:space="preserve">Operativer Bereich unter warehouse.miet.net für interne und vertragsgebundene Lagermitarbeitende; steuert Wareneingang, Prüfung, Reinigung, Kommissionierung, Versand, Rückgabe, Reparatur und Bestand.</w:t>
      </w:r>
    </w:p>
    <w:p>
      <w:pPr>
        <w:spacing w:after="40" w:before="160"/>
      </w:pPr>
      <w:r>
        <w:rPr>
          <w:b/>
          <w:bCs/>
          <w:color w:val="1A3E75"/>
          <w:sz w:val="22"/>
          <w:szCs w:val="22"/>
        </w:rPr>
        <w:t xml:space="preserve">PL-009  </w:t>
      </w:r>
      <w:r>
        <w:rPr>
          <w:b/>
          <w:bCs/>
          <w:sz w:val="22"/>
          <w:szCs w:val="22"/>
        </w:rPr>
        <w:t xml:space="preserve">Admin-Portal</w:t>
      </w:r>
      <w:r>
        <w:rPr>
          <w:i/>
          <w:iCs/>
          <w:color w:val="666666"/>
          <w:sz w:val="20"/>
          <w:szCs w:val="20"/>
        </w:rPr>
        <w:t xml:space="preserve">  —  Administration Portal</w:t>
      </w:r>
    </w:p>
    <w:p>
      <w:pPr>
        <w:spacing w:after="120"/>
      </w:pPr>
      <w:r>
        <w:rPr>
          <w:sz w:val="21"/>
          <w:szCs w:val="21"/>
        </w:rPr>
        <w:t xml:space="preserve">Interner Verwaltungsbereich unter admin.miet.net für Mitarbeitende der LeasNet GmbH mit Rollen- und Rechteverwaltung, Fallprüfung, Compliance-Werkzeugen und Audit-Zugriff.</w:t>
      </w:r>
    </w:p>
    <w:p>
      <w:pPr>
        <w:spacing w:after="40" w:before="160"/>
      </w:pPr>
      <w:r>
        <w:rPr>
          <w:b/>
          <w:bCs/>
          <w:color w:val="1A3E75"/>
          <w:sz w:val="22"/>
          <w:szCs w:val="22"/>
        </w:rPr>
        <w:t xml:space="preserve">PL-010  </w:t>
      </w:r>
      <w:r>
        <w:rPr>
          <w:b/>
          <w:bCs/>
          <w:sz w:val="22"/>
          <w:szCs w:val="22"/>
        </w:rPr>
        <w:t xml:space="preserve">Trust Center / Legal Hub</w:t>
      </w:r>
      <w:r>
        <w:rPr>
          <w:i/>
          <w:iCs/>
          <w:color w:val="666666"/>
          <w:sz w:val="20"/>
          <w:szCs w:val="20"/>
        </w:rPr>
        <w:t xml:space="preserve">  —  Trust Center</w:t>
      </w:r>
    </w:p>
    <w:p>
      <w:pPr>
        <w:spacing w:after="120"/>
      </w:pPr>
      <w:r>
        <w:rPr>
          <w:sz w:val="21"/>
          <w:szCs w:val="21"/>
        </w:rPr>
        <w:t xml:space="preserve">Öffentlicher Bereich unter miet.net/trust bzw. miet.net/legal, in dem sämtliche Rechtsdokumente, Versionen, Änderungshistorien und PDF-Fassungen für Verbraucher, Business und Vendor bereitgestellt werden.</w:t>
      </w:r>
    </w:p>
    <w:p>
      <w:pPr>
        <w:pStyle w:val="Heading2"/>
      </w:pPr>
      <w:r>
        <w:t xml:space="preserve">RO · Rollen &amp; Parteien</w:t>
      </w:r>
    </w:p>
    <w:p>
      <w:pPr>
        <w:spacing w:after="40" w:before="160"/>
      </w:pPr>
      <w:r>
        <w:rPr>
          <w:b/>
          <w:bCs/>
          <w:color w:val="1A3E75"/>
          <w:sz w:val="22"/>
          <w:szCs w:val="22"/>
        </w:rPr>
        <w:t xml:space="preserve">RO-001  </w:t>
      </w:r>
      <w:r>
        <w:rPr>
          <w:b/>
          <w:bCs/>
          <w:sz w:val="22"/>
          <w:szCs w:val="22"/>
        </w:rPr>
        <w:t xml:space="preserve">Nutzer</w:t>
      </w:r>
      <w:r>
        <w:rPr>
          <w:i/>
          <w:iCs/>
          <w:color w:val="666666"/>
          <w:sz w:val="20"/>
          <w:szCs w:val="20"/>
        </w:rPr>
        <w:t xml:space="preserve">  —  User</w:t>
      </w:r>
    </w:p>
    <w:p>
      <w:pPr>
        <w:spacing w:after="120"/>
      </w:pPr>
      <w:r>
        <w:rPr>
          <w:sz w:val="21"/>
          <w:szCs w:val="21"/>
        </w:rPr>
        <w:t xml:space="preserve">Jede natürliche oder juristische Person, die die Plattform besucht oder nutzt, unabhängig davon, ob ein Vertrag zustande kommt.</w:t>
      </w:r>
    </w:p>
    <w:p>
      <w:pPr>
        <w:spacing w:after="40" w:before="160"/>
      </w:pPr>
      <w:r>
        <w:rPr>
          <w:b/>
          <w:bCs/>
          <w:color w:val="1A3E75"/>
          <w:sz w:val="22"/>
          <w:szCs w:val="22"/>
        </w:rPr>
        <w:t xml:space="preserve">RO-002  </w:t>
      </w:r>
      <w:r>
        <w:rPr>
          <w:b/>
          <w:bCs/>
          <w:sz w:val="22"/>
          <w:szCs w:val="22"/>
        </w:rPr>
        <w:t xml:space="preserve">Kunde</w:t>
      </w:r>
      <w:r>
        <w:rPr>
          <w:i/>
          <w:iCs/>
          <w:color w:val="666666"/>
          <w:sz w:val="20"/>
          <w:szCs w:val="20"/>
        </w:rPr>
        <w:t xml:space="preserve">  —  Customer</w:t>
      </w:r>
    </w:p>
    <w:p>
      <w:pPr>
        <w:spacing w:after="120"/>
      </w:pPr>
      <w:r>
        <w:rPr>
          <w:sz w:val="21"/>
          <w:szCs w:val="21"/>
        </w:rPr>
        <w:t xml:space="preserve">Nutzer, der über die Plattform eine Miete abschließt oder abschließen möchte. Umfasst Verbraucher, Geschäftskunden und ist strikt getrennt vom Vendor.</w:t>
      </w:r>
    </w:p>
    <w:p>
      <w:pPr>
        <w:spacing w:after="40" w:before="160"/>
      </w:pPr>
      <w:r>
        <w:rPr>
          <w:b/>
          <w:bCs/>
          <w:color w:val="1A3E75"/>
          <w:sz w:val="22"/>
          <w:szCs w:val="22"/>
        </w:rPr>
        <w:t xml:space="preserve">RO-003  </w:t>
      </w:r>
      <w:r>
        <w:rPr>
          <w:b/>
          <w:bCs/>
          <w:sz w:val="22"/>
          <w:szCs w:val="22"/>
        </w:rPr>
        <w:t xml:space="preserve">Verbraucher</w:t>
      </w:r>
      <w:r>
        <w:rPr>
          <w:i/>
          <w:iCs/>
          <w:color w:val="666666"/>
          <w:sz w:val="20"/>
          <w:szCs w:val="20"/>
        </w:rPr>
        <w:t xml:space="preserve">  —  Consumer</w:t>
      </w:r>
    </w:p>
    <w:p>
      <w:pPr>
        <w:spacing w:after="120"/>
      </w:pPr>
      <w:r>
        <w:rPr>
          <w:sz w:val="21"/>
          <w:szCs w:val="21"/>
        </w:rPr>
        <w:t xml:space="preserve">Natürliche Person, die zu Zwecken abschließt, die überwiegend weder ihrer gewerblichen noch ihrer selbständigen beruflichen Tätigkeit zugerechnet werden können (§ 13 BGB).</w:t>
      </w:r>
    </w:p>
    <w:p>
      <w:pPr>
        <w:spacing w:after="40" w:before="160"/>
      </w:pPr>
      <w:r>
        <w:rPr>
          <w:b/>
          <w:bCs/>
          <w:color w:val="1A3E75"/>
          <w:sz w:val="22"/>
          <w:szCs w:val="22"/>
        </w:rPr>
        <w:t xml:space="preserve">RO-004  </w:t>
      </w:r>
      <w:r>
        <w:rPr>
          <w:b/>
          <w:bCs/>
          <w:sz w:val="22"/>
          <w:szCs w:val="22"/>
        </w:rPr>
        <w:t xml:space="preserve">Geschäftskunde</w:t>
      </w:r>
      <w:r>
        <w:rPr>
          <w:i/>
          <w:iCs/>
          <w:color w:val="666666"/>
          <w:sz w:val="20"/>
          <w:szCs w:val="20"/>
        </w:rPr>
        <w:t xml:space="preserve">  —  Business Customer</w:t>
      </w:r>
    </w:p>
    <w:p>
      <w:pPr>
        <w:spacing w:after="120"/>
      </w:pPr>
      <w:r>
        <w:rPr>
          <w:sz w:val="21"/>
          <w:szCs w:val="21"/>
        </w:rPr>
        <w:t xml:space="preserve">Unternehmer im Sinne des § 14 BGB, der die Plattform über das Business-Portal nutzt. Nur juristische Personen und gewerblich handelnde natürliche Personen können Geschäftskunden sein.</w:t>
      </w:r>
    </w:p>
    <w:p>
      <w:pPr>
        <w:spacing w:after="40" w:before="160"/>
      </w:pPr>
      <w:r>
        <w:rPr>
          <w:b/>
          <w:bCs/>
          <w:color w:val="1A3E75"/>
          <w:sz w:val="22"/>
          <w:szCs w:val="22"/>
        </w:rPr>
        <w:t xml:space="preserve">RO-005  </w:t>
      </w:r>
      <w:r>
        <w:rPr>
          <w:b/>
          <w:bCs/>
          <w:sz w:val="22"/>
          <w:szCs w:val="22"/>
        </w:rPr>
        <w:t xml:space="preserve">Business-Organisation</w:t>
      </w:r>
      <w:r>
        <w:rPr>
          <w:i/>
          <w:iCs/>
          <w:color w:val="666666"/>
          <w:sz w:val="20"/>
          <w:szCs w:val="20"/>
        </w:rPr>
        <w:t xml:space="preserve">  —  Business Organization</w:t>
      </w:r>
    </w:p>
    <w:p>
      <w:pPr>
        <w:spacing w:after="120"/>
      </w:pPr>
      <w:r>
        <w:rPr>
          <w:sz w:val="21"/>
          <w:szCs w:val="21"/>
        </w:rPr>
        <w:t xml:space="preserve">Rechtlicher Container im Business-Portal, dem Mitarbeitende, Budgets, Freigaberegeln, Kostenstellen und Verträge zugeordnet sind.</w:t>
      </w:r>
    </w:p>
    <w:p>
      <w:pPr>
        <w:spacing w:after="40" w:before="160"/>
      </w:pPr>
      <w:r>
        <w:rPr>
          <w:b/>
          <w:bCs/>
          <w:color w:val="1A3E75"/>
          <w:sz w:val="22"/>
          <w:szCs w:val="22"/>
        </w:rPr>
        <w:t xml:space="preserve">RO-006  </w:t>
      </w:r>
      <w:r>
        <w:rPr>
          <w:b/>
          <w:bCs/>
          <w:sz w:val="22"/>
          <w:szCs w:val="22"/>
        </w:rPr>
        <w:t xml:space="preserve">Team-Mitglied</w:t>
      </w:r>
      <w:r>
        <w:rPr>
          <w:i/>
          <w:iCs/>
          <w:color w:val="666666"/>
          <w:sz w:val="20"/>
          <w:szCs w:val="20"/>
        </w:rPr>
        <w:t xml:space="preserve">  —  Team Member</w:t>
      </w:r>
    </w:p>
    <w:p>
      <w:pPr>
        <w:spacing w:after="120"/>
      </w:pPr>
      <w:r>
        <w:rPr>
          <w:sz w:val="21"/>
          <w:szCs w:val="21"/>
        </w:rPr>
        <w:t xml:space="preserve">Natürliche Person, die einer Business-Organisation zugeordnet ist und in deren Namen und auf deren Rechnung handelt, im Rahmen ihrer zugewiesenen Rolle und Rechte.</w:t>
      </w:r>
    </w:p>
    <w:p>
      <w:pPr>
        <w:spacing w:after="40" w:before="160"/>
      </w:pPr>
      <w:r>
        <w:rPr>
          <w:b/>
          <w:bCs/>
          <w:color w:val="1A3E75"/>
          <w:sz w:val="22"/>
          <w:szCs w:val="22"/>
        </w:rPr>
        <w:t xml:space="preserve">RO-007  </w:t>
      </w:r>
      <w:r>
        <w:rPr>
          <w:b/>
          <w:bCs/>
          <w:sz w:val="22"/>
          <w:szCs w:val="22"/>
        </w:rPr>
        <w:t xml:space="preserve">Organisationsadministrator</w:t>
      </w:r>
      <w:r>
        <w:rPr>
          <w:i/>
          <w:iCs/>
          <w:color w:val="666666"/>
          <w:sz w:val="20"/>
          <w:szCs w:val="20"/>
        </w:rPr>
        <w:t xml:space="preserve">  —  Organization Administrator</w:t>
      </w:r>
    </w:p>
    <w:p>
      <w:pPr>
        <w:spacing w:after="120"/>
      </w:pPr>
      <w:r>
        <w:rPr>
          <w:sz w:val="21"/>
          <w:szCs w:val="21"/>
        </w:rPr>
        <w:t xml:space="preserve">Team-Mitglied mit erweiterten Rechten zur Verwaltung der Business-Organisation, einschließlich Rollenzuweisung, Budgetverwaltung und Vertragsfreigabe.</w:t>
      </w:r>
    </w:p>
    <w:p>
      <w:pPr>
        <w:spacing w:after="40" w:before="160"/>
      </w:pPr>
      <w:r>
        <w:rPr>
          <w:b/>
          <w:bCs/>
          <w:color w:val="1A3E75"/>
          <w:sz w:val="22"/>
          <w:szCs w:val="22"/>
        </w:rPr>
        <w:t xml:space="preserve">RO-008  </w:t>
      </w:r>
      <w:r>
        <w:rPr>
          <w:b/>
          <w:bCs/>
          <w:sz w:val="22"/>
          <w:szCs w:val="22"/>
        </w:rPr>
        <w:t xml:space="preserve">Vendor</w:t>
      </w:r>
      <w:r>
        <w:rPr>
          <w:i/>
          <w:iCs/>
          <w:color w:val="666666"/>
          <w:sz w:val="20"/>
          <w:szCs w:val="20"/>
        </w:rPr>
        <w:t xml:space="preserve">  —  Vendor</w:t>
      </w:r>
    </w:p>
    <w:p>
      <w:pPr>
        <w:spacing w:after="120"/>
      </w:pPr>
      <w:r>
        <w:rPr>
          <w:sz w:val="21"/>
          <w:szCs w:val="21"/>
        </w:rPr>
        <w:t xml:space="preserve">Gewerblicher Vermieter, der unter eigenem Namen und auf eigene Rechnung Mietangebote über den Marketplace bereitstellt. Vendoren sind niemals Verbraucher und stets Unternehmer im Sinne des § 14 BGB.</w:t>
      </w:r>
    </w:p>
    <w:p>
      <w:pPr>
        <w:spacing w:after="40" w:before="160"/>
      </w:pPr>
      <w:r>
        <w:rPr>
          <w:b/>
          <w:bCs/>
          <w:color w:val="1A3E75"/>
          <w:sz w:val="22"/>
          <w:szCs w:val="22"/>
        </w:rPr>
        <w:t xml:space="preserve">RO-009  </w:t>
      </w:r>
      <w:r>
        <w:rPr>
          <w:b/>
          <w:bCs/>
          <w:sz w:val="22"/>
          <w:szCs w:val="22"/>
        </w:rPr>
        <w:t xml:space="preserve">Vendor-Mitglied</w:t>
      </w:r>
      <w:r>
        <w:rPr>
          <w:i/>
          <w:iCs/>
          <w:color w:val="666666"/>
          <w:sz w:val="20"/>
          <w:szCs w:val="20"/>
        </w:rPr>
        <w:t xml:space="preserve">  —  Vendor Member</w:t>
      </w:r>
    </w:p>
    <w:p>
      <w:pPr>
        <w:spacing w:after="120"/>
      </w:pPr>
      <w:r>
        <w:rPr>
          <w:sz w:val="21"/>
          <w:szCs w:val="21"/>
        </w:rPr>
        <w:t xml:space="preserve">Natürliche Person, die berechtigt ist, im Vendor-Portal für einen Vendor zu handeln, im Rahmen der zugewiesenen Vendor-Rolle.</w:t>
      </w:r>
    </w:p>
    <w:p>
      <w:pPr>
        <w:spacing w:after="40" w:before="160"/>
      </w:pPr>
      <w:r>
        <w:rPr>
          <w:b/>
          <w:bCs/>
          <w:color w:val="1A3E75"/>
          <w:sz w:val="22"/>
          <w:szCs w:val="22"/>
        </w:rPr>
        <w:t xml:space="preserve">RO-010  </w:t>
      </w:r>
      <w:r>
        <w:rPr>
          <w:b/>
          <w:bCs/>
          <w:sz w:val="22"/>
          <w:szCs w:val="22"/>
        </w:rPr>
        <w:t xml:space="preserve">Vendor-Inhaber</w:t>
      </w:r>
      <w:r>
        <w:rPr>
          <w:i/>
          <w:iCs/>
          <w:color w:val="666666"/>
          <w:sz w:val="20"/>
          <w:szCs w:val="20"/>
        </w:rPr>
        <w:t xml:space="preserve">  —  Vendor Owner</w:t>
      </w:r>
    </w:p>
    <w:p>
      <w:pPr>
        <w:spacing w:after="120"/>
      </w:pPr>
      <w:r>
        <w:rPr>
          <w:sz w:val="21"/>
          <w:szCs w:val="21"/>
        </w:rPr>
        <w:t xml:space="preserve">Vendor-Mitglied mit höchstem Rechteumfang; verantwortlich für Vertragsschluss, Auszahlungskonten, Verifizierung und Veröffentlichung.</w:t>
      </w:r>
    </w:p>
    <w:p>
      <w:pPr>
        <w:spacing w:after="40" w:before="160"/>
      </w:pPr>
      <w:r>
        <w:rPr>
          <w:b/>
          <w:bCs/>
          <w:color w:val="1A3E75"/>
          <w:sz w:val="22"/>
          <w:szCs w:val="22"/>
        </w:rPr>
        <w:t xml:space="preserve">RO-011  </w:t>
      </w:r>
      <w:r>
        <w:rPr>
          <w:b/>
          <w:bCs/>
          <w:sz w:val="22"/>
          <w:szCs w:val="22"/>
        </w:rPr>
        <w:t xml:space="preserve">Vertragspartner</w:t>
      </w:r>
      <w:r>
        <w:rPr>
          <w:i/>
          <w:iCs/>
          <w:color w:val="666666"/>
          <w:sz w:val="20"/>
          <w:szCs w:val="20"/>
        </w:rPr>
        <w:t xml:space="preserve">  —  Contracting Party</w:t>
      </w:r>
    </w:p>
    <w:p>
      <w:pPr>
        <w:spacing w:after="120"/>
      </w:pPr>
      <w:r>
        <w:rPr>
          <w:sz w:val="21"/>
          <w:szCs w:val="21"/>
        </w:rPr>
        <w:t xml:space="preserve">Diejenige Partei, die im konkreten Miet- oder Nebenvertrag Rechte und Pflichten übernimmt. Der Vertragspartner ist entweder die LeasNet GmbH (Direct-Rental) oder ein Vendor (Marketplace-Rental).</w:t>
      </w:r>
    </w:p>
    <w:p>
      <w:pPr>
        <w:spacing w:after="40" w:before="160"/>
      </w:pPr>
      <w:r>
        <w:rPr>
          <w:b/>
          <w:bCs/>
          <w:color w:val="1A3E75"/>
          <w:sz w:val="22"/>
          <w:szCs w:val="22"/>
        </w:rPr>
        <w:t xml:space="preserve">RO-012  </w:t>
      </w:r>
      <w:r>
        <w:rPr>
          <w:b/>
          <w:bCs/>
          <w:sz w:val="22"/>
          <w:szCs w:val="22"/>
        </w:rPr>
        <w:t xml:space="preserve">Plattformbetreiberin</w:t>
      </w:r>
      <w:r>
        <w:rPr>
          <w:i/>
          <w:iCs/>
          <w:color w:val="666666"/>
          <w:sz w:val="20"/>
          <w:szCs w:val="20"/>
        </w:rPr>
        <w:t xml:space="preserve">  —  Platform Operator</w:t>
      </w:r>
    </w:p>
    <w:p>
      <w:pPr>
        <w:spacing w:after="120"/>
      </w:pPr>
      <w:r>
        <w:rPr>
          <w:sz w:val="21"/>
          <w:szCs w:val="21"/>
        </w:rPr>
        <w:t xml:space="preserve">Die LeasNet GmbH in ihrer Rolle als Betreiberin der Plattform, insbesondere als Anbieterin des Vermittlungs-, Zahlungsabwicklungs-, Kautionsverwaltungs- und Streitbeilegungsdienstes im Marketplace.</w:t>
      </w:r>
    </w:p>
    <w:p>
      <w:pPr>
        <w:spacing w:after="40" w:before="160"/>
      </w:pPr>
      <w:r>
        <w:rPr>
          <w:b/>
          <w:bCs/>
          <w:color w:val="1A3E75"/>
          <w:sz w:val="22"/>
          <w:szCs w:val="22"/>
        </w:rPr>
        <w:t xml:space="preserve">RO-013  </w:t>
      </w:r>
      <w:r>
        <w:rPr>
          <w:b/>
          <w:bCs/>
          <w:sz w:val="22"/>
          <w:szCs w:val="22"/>
        </w:rPr>
        <w:t xml:space="preserve">Direkt-Vermieterin</w:t>
      </w:r>
      <w:r>
        <w:rPr>
          <w:i/>
          <w:iCs/>
          <w:color w:val="666666"/>
          <w:sz w:val="20"/>
          <w:szCs w:val="20"/>
        </w:rPr>
        <w:t xml:space="preserve">  —  Direct Landlord</w:t>
      </w:r>
    </w:p>
    <w:p>
      <w:pPr>
        <w:spacing w:after="120"/>
      </w:pPr>
      <w:r>
        <w:rPr>
          <w:sz w:val="21"/>
          <w:szCs w:val="21"/>
        </w:rPr>
        <w:t xml:space="preserve">Die LeasNet GmbH in ihrer Rolle als Eigentümerin und Vermieterin bei LeasNet Direct.</w:t>
      </w:r>
    </w:p>
    <w:p>
      <w:pPr>
        <w:spacing w:after="40" w:before="160"/>
      </w:pPr>
      <w:r>
        <w:rPr>
          <w:b/>
          <w:bCs/>
          <w:color w:val="1A3E75"/>
          <w:sz w:val="22"/>
          <w:szCs w:val="22"/>
        </w:rPr>
        <w:t xml:space="preserve">RO-014  </w:t>
      </w:r>
      <w:r>
        <w:rPr>
          <w:b/>
          <w:bCs/>
          <w:sz w:val="22"/>
          <w:szCs w:val="22"/>
        </w:rPr>
        <w:t xml:space="preserve">Warehouse-Betreiber</w:t>
      </w:r>
      <w:r>
        <w:rPr>
          <w:i/>
          <w:iCs/>
          <w:color w:val="666666"/>
          <w:sz w:val="20"/>
          <w:szCs w:val="20"/>
        </w:rPr>
        <w:t xml:space="preserve">  —  Warehouse Operator</w:t>
      </w:r>
    </w:p>
    <w:p>
      <w:pPr>
        <w:spacing w:after="120"/>
      </w:pPr>
      <w:r>
        <w:rPr>
          <w:sz w:val="21"/>
          <w:szCs w:val="21"/>
        </w:rPr>
        <w:t xml:space="preserve">Betreibende Einheit eines Warehouse-Standorts. Dies kann die LeasNet GmbH selbst, eine Konzerngesellschaft oder ein vertraglich gebundener Logistikpartner sein.</w:t>
      </w:r>
    </w:p>
    <w:p>
      <w:pPr>
        <w:spacing w:after="40" w:before="160"/>
      </w:pPr>
      <w:r>
        <w:rPr>
          <w:b/>
          <w:bCs/>
          <w:color w:val="1A3E75"/>
          <w:sz w:val="22"/>
          <w:szCs w:val="22"/>
        </w:rPr>
        <w:t xml:space="preserve">RO-015  </w:t>
      </w:r>
      <w:r>
        <w:rPr>
          <w:b/>
          <w:bCs/>
          <w:sz w:val="22"/>
          <w:szCs w:val="22"/>
        </w:rPr>
        <w:t xml:space="preserve">Zahlungsdienstleister</w:t>
      </w:r>
      <w:r>
        <w:rPr>
          <w:i/>
          <w:iCs/>
          <w:color w:val="666666"/>
          <w:sz w:val="20"/>
          <w:szCs w:val="20"/>
        </w:rPr>
        <w:t xml:space="preserve">  —  Payment Service Provider</w:t>
      </w:r>
    </w:p>
    <w:p>
      <w:pPr>
        <w:spacing w:after="120"/>
      </w:pPr>
      <w:r>
        <w:rPr>
          <w:sz w:val="21"/>
          <w:szCs w:val="21"/>
        </w:rPr>
        <w:t xml:space="preserve">Externer, regulierter Anbieter (insbesondere Stripe Payments Europe, Ltd. und Stripe Technology Europe, Limited im Rahmen von Stripe Connect), der Zahlungsvorgänge im Auftrag der Plattform und der Vertragspartner abwickelt.</w:t>
      </w:r>
    </w:p>
    <w:p>
      <w:pPr>
        <w:spacing w:after="40" w:before="160"/>
      </w:pPr>
      <w:r>
        <w:rPr>
          <w:b/>
          <w:bCs/>
          <w:color w:val="1A3E75"/>
          <w:sz w:val="22"/>
          <w:szCs w:val="22"/>
        </w:rPr>
        <w:t xml:space="preserve">RO-016  </w:t>
      </w:r>
      <w:r>
        <w:rPr>
          <w:b/>
          <w:bCs/>
          <w:sz w:val="22"/>
          <w:szCs w:val="22"/>
        </w:rPr>
        <w:t xml:space="preserve">Support-Team</w:t>
      </w:r>
      <w:r>
        <w:rPr>
          <w:i/>
          <w:iCs/>
          <w:color w:val="666666"/>
          <w:sz w:val="20"/>
          <w:szCs w:val="20"/>
        </w:rPr>
        <w:t xml:space="preserve">  —  Support Team</w:t>
      </w:r>
    </w:p>
    <w:p>
      <w:pPr>
        <w:spacing w:after="120"/>
      </w:pPr>
      <w:r>
        <w:rPr>
          <w:sz w:val="21"/>
          <w:szCs w:val="21"/>
        </w:rPr>
        <w:t xml:space="preserve">Mitarbeitende der LeasNet GmbH oder von ihr beauftragte Dienstleister, die Kundenanfragen, Beschwerden und Streitfälle bearbeiten.</w:t>
      </w:r>
    </w:p>
    <w:p>
      <w:pPr>
        <w:spacing w:after="40" w:before="160"/>
      </w:pPr>
      <w:r>
        <w:rPr>
          <w:b/>
          <w:bCs/>
          <w:color w:val="1A3E75"/>
          <w:sz w:val="22"/>
          <w:szCs w:val="22"/>
        </w:rPr>
        <w:t xml:space="preserve">RO-017  </w:t>
      </w:r>
      <w:r>
        <w:rPr>
          <w:b/>
          <w:bCs/>
          <w:sz w:val="22"/>
          <w:szCs w:val="22"/>
        </w:rPr>
        <w:t xml:space="preserve">Behörde</w:t>
      </w:r>
      <w:r>
        <w:rPr>
          <w:i/>
          <w:iCs/>
          <w:color w:val="666666"/>
          <w:sz w:val="20"/>
          <w:szCs w:val="20"/>
        </w:rPr>
        <w:t xml:space="preserve">  —  Competent Authority</w:t>
      </w:r>
    </w:p>
    <w:p>
      <w:pPr>
        <w:spacing w:after="120"/>
      </w:pPr>
      <w:r>
        <w:rPr>
          <w:sz w:val="21"/>
          <w:szCs w:val="21"/>
        </w:rPr>
        <w:t xml:space="preserve">Jede zuständige Aufsichts-, Ermittlungs- oder Gerichtsbehörde, insbesondere Datenschutz-, Verbraucherschutz-, Zoll-, Finanz-, Handels- und Strafverfolgungsbehörden.</w:t>
      </w:r>
    </w:p>
    <w:p>
      <w:pPr>
        <w:pStyle w:val="Heading2"/>
      </w:pPr>
      <w:r>
        <w:t xml:space="preserve">PR · Produkt &amp; Asset</w:t>
      </w:r>
    </w:p>
    <w:p>
      <w:pPr>
        <w:spacing w:after="40" w:before="160"/>
      </w:pPr>
      <w:r>
        <w:rPr>
          <w:b/>
          <w:bCs/>
          <w:color w:val="1A3E75"/>
          <w:sz w:val="22"/>
          <w:szCs w:val="22"/>
        </w:rPr>
        <w:t xml:space="preserve">PR-001  </w:t>
      </w:r>
      <w:r>
        <w:rPr>
          <w:b/>
          <w:bCs/>
          <w:sz w:val="22"/>
          <w:szCs w:val="22"/>
        </w:rPr>
        <w:t xml:space="preserve">Produkt</w:t>
      </w:r>
      <w:r>
        <w:rPr>
          <w:i/>
          <w:iCs/>
          <w:color w:val="666666"/>
          <w:sz w:val="20"/>
          <w:szCs w:val="20"/>
        </w:rPr>
        <w:t xml:space="preserve">  —  Product</w:t>
      </w:r>
    </w:p>
    <w:p>
      <w:pPr>
        <w:spacing w:after="120"/>
      </w:pPr>
      <w:r>
        <w:rPr>
          <w:sz w:val="21"/>
          <w:szCs w:val="21"/>
        </w:rPr>
        <w:t xml:space="preserve">Eine im Katalog geführte, standardisierte Beschreibung eines mietbaren Gegenstands (Modell, Ausstattung, Zubehör-Standard). Ein Produkt ist keine bestimmte physische Einheit.</w:t>
      </w:r>
    </w:p>
    <w:p>
      <w:pPr>
        <w:spacing w:after="40" w:before="160"/>
      </w:pPr>
      <w:r>
        <w:rPr>
          <w:b/>
          <w:bCs/>
          <w:color w:val="1A3E75"/>
          <w:sz w:val="22"/>
          <w:szCs w:val="22"/>
        </w:rPr>
        <w:t xml:space="preserve">PR-002  </w:t>
      </w:r>
      <w:r>
        <w:rPr>
          <w:b/>
          <w:bCs/>
          <w:sz w:val="22"/>
          <w:szCs w:val="22"/>
        </w:rPr>
        <w:t xml:space="preserve">Produkt-Variante</w:t>
      </w:r>
      <w:r>
        <w:rPr>
          <w:i/>
          <w:iCs/>
          <w:color w:val="666666"/>
          <w:sz w:val="20"/>
          <w:szCs w:val="20"/>
        </w:rPr>
        <w:t xml:space="preserve">  —  Product Variant</w:t>
      </w:r>
    </w:p>
    <w:p>
      <w:pPr>
        <w:spacing w:after="120"/>
      </w:pPr>
      <w:r>
        <w:rPr>
          <w:sz w:val="21"/>
          <w:szCs w:val="21"/>
        </w:rPr>
        <w:t xml:space="preserve">Konfigurierbare Ausprägung eines Produkts, z. B. Farbe, Speichergröße oder Ausstattungsstufe.</w:t>
      </w:r>
    </w:p>
    <w:p>
      <w:pPr>
        <w:spacing w:after="40" w:before="160"/>
      </w:pPr>
      <w:r>
        <w:rPr>
          <w:b/>
          <w:bCs/>
          <w:color w:val="1A3E75"/>
          <w:sz w:val="22"/>
          <w:szCs w:val="22"/>
        </w:rPr>
        <w:t xml:space="preserve">PR-003  </w:t>
      </w:r>
      <w:r>
        <w:rPr>
          <w:b/>
          <w:bCs/>
          <w:sz w:val="22"/>
          <w:szCs w:val="22"/>
        </w:rPr>
        <w:t xml:space="preserve">Asset</w:t>
      </w:r>
      <w:r>
        <w:rPr>
          <w:i/>
          <w:iCs/>
          <w:color w:val="666666"/>
          <w:sz w:val="20"/>
          <w:szCs w:val="20"/>
        </w:rPr>
        <w:t xml:space="preserve">  —  Asset</w:t>
      </w:r>
    </w:p>
    <w:p>
      <w:pPr>
        <w:spacing w:after="120"/>
      </w:pPr>
      <w:r>
        <w:rPr>
          <w:sz w:val="21"/>
          <w:szCs w:val="21"/>
        </w:rPr>
        <w:t xml:space="preserve">Konkrete physische Einheit eines Produkts mit eindeutiger Kennung. Jedes Asset besitzt einen dokumentierten Zustand, einen Standort, einen Statuscode und eine Historie.</w:t>
      </w:r>
    </w:p>
    <w:p>
      <w:pPr>
        <w:spacing w:after="40" w:before="160"/>
      </w:pPr>
      <w:r>
        <w:rPr>
          <w:b/>
          <w:bCs/>
          <w:color w:val="1A3E75"/>
          <w:sz w:val="22"/>
          <w:szCs w:val="22"/>
        </w:rPr>
        <w:t xml:space="preserve">PR-004  </w:t>
      </w:r>
      <w:r>
        <w:rPr>
          <w:b/>
          <w:bCs/>
          <w:sz w:val="22"/>
          <w:szCs w:val="22"/>
        </w:rPr>
        <w:t xml:space="preserve">Asset-ID</w:t>
      </w:r>
      <w:r>
        <w:rPr>
          <w:i/>
          <w:iCs/>
          <w:color w:val="666666"/>
          <w:sz w:val="20"/>
          <w:szCs w:val="20"/>
        </w:rPr>
        <w:t xml:space="preserve">  —  Asset ID</w:t>
      </w:r>
    </w:p>
    <w:p>
      <w:pPr>
        <w:spacing w:after="120"/>
      </w:pPr>
      <w:r>
        <w:rPr>
          <w:sz w:val="21"/>
          <w:szCs w:val="21"/>
        </w:rPr>
        <w:t xml:space="preserve">Eindeutiger, dauerhaft zugewiesener Identifikator eines Assets, der auf Warenanhängern, Rechnungen und Prüfberichten verwendet wird.</w:t>
      </w:r>
    </w:p>
    <w:p>
      <w:pPr>
        <w:spacing w:after="40" w:before="160"/>
      </w:pPr>
      <w:r>
        <w:rPr>
          <w:b/>
          <w:bCs/>
          <w:color w:val="1A3E75"/>
          <w:sz w:val="22"/>
          <w:szCs w:val="22"/>
        </w:rPr>
        <w:t xml:space="preserve">PR-005  </w:t>
      </w:r>
      <w:r>
        <w:rPr>
          <w:b/>
          <w:bCs/>
          <w:sz w:val="22"/>
          <w:szCs w:val="22"/>
        </w:rPr>
        <w:t xml:space="preserve">Seriennummer</w:t>
      </w:r>
      <w:r>
        <w:rPr>
          <w:i/>
          <w:iCs/>
          <w:color w:val="666666"/>
          <w:sz w:val="20"/>
          <w:szCs w:val="20"/>
        </w:rPr>
        <w:t xml:space="preserve">  —  Serial Number</w:t>
      </w:r>
    </w:p>
    <w:p>
      <w:pPr>
        <w:spacing w:after="120"/>
      </w:pPr>
      <w:r>
        <w:rPr>
          <w:sz w:val="21"/>
          <w:szCs w:val="21"/>
        </w:rPr>
        <w:t xml:space="preserve">Vom Hersteller vergebene Kennung eines Assets, sofern vorhanden (z. B. IMEI, S/N).</w:t>
      </w:r>
    </w:p>
    <w:p>
      <w:pPr>
        <w:spacing w:after="40" w:before="160"/>
      </w:pPr>
      <w:r>
        <w:rPr>
          <w:b/>
          <w:bCs/>
          <w:color w:val="1A3E75"/>
          <w:sz w:val="22"/>
          <w:szCs w:val="22"/>
        </w:rPr>
        <w:t xml:space="preserve">PR-006  </w:t>
      </w:r>
      <w:r>
        <w:rPr>
          <w:b/>
          <w:bCs/>
          <w:sz w:val="22"/>
          <w:szCs w:val="22"/>
        </w:rPr>
        <w:t xml:space="preserve">Zubehör</w:t>
      </w:r>
      <w:r>
        <w:rPr>
          <w:i/>
          <w:iCs/>
          <w:color w:val="666666"/>
          <w:sz w:val="20"/>
          <w:szCs w:val="20"/>
        </w:rPr>
        <w:t xml:space="preserve">  —  Accessory</w:t>
      </w:r>
    </w:p>
    <w:p>
      <w:pPr>
        <w:spacing w:after="120"/>
      </w:pPr>
      <w:r>
        <w:rPr>
          <w:sz w:val="21"/>
          <w:szCs w:val="21"/>
        </w:rPr>
        <w:t xml:space="preserve">Gegenstand, der zusammen mit einem Asset ausgeliefert und zurückgegeben werden muss (z. B. Netzteil, Fernbedienung, Objektivdeckel). Der Zubehörumfang ist im Mietvertrag festgelegt.</w:t>
      </w:r>
    </w:p>
    <w:p>
      <w:pPr>
        <w:spacing w:after="40" w:before="160"/>
      </w:pPr>
      <w:r>
        <w:rPr>
          <w:b/>
          <w:bCs/>
          <w:color w:val="1A3E75"/>
          <w:sz w:val="22"/>
          <w:szCs w:val="22"/>
        </w:rPr>
        <w:t xml:space="preserve">PR-007  </w:t>
      </w:r>
      <w:r>
        <w:rPr>
          <w:b/>
          <w:bCs/>
          <w:sz w:val="22"/>
          <w:szCs w:val="22"/>
        </w:rPr>
        <w:t xml:space="preserve">Zubehörumfang</w:t>
      </w:r>
      <w:r>
        <w:rPr>
          <w:i/>
          <w:iCs/>
          <w:color w:val="666666"/>
          <w:sz w:val="20"/>
          <w:szCs w:val="20"/>
        </w:rPr>
        <w:t xml:space="preserve">  —  Accessory Set</w:t>
      </w:r>
    </w:p>
    <w:p>
      <w:pPr>
        <w:spacing w:after="120"/>
      </w:pPr>
      <w:r>
        <w:rPr>
          <w:sz w:val="21"/>
          <w:szCs w:val="21"/>
        </w:rPr>
        <w:t xml:space="preserve">Verbindliche Auflistung der zu einem Asset gehörenden Zubehörteile; abweichend hiervon fehlende Teile führen zu Nachforderungen nach dem Schadensmodell.</w:t>
      </w:r>
    </w:p>
    <w:p>
      <w:pPr>
        <w:spacing w:after="40" w:before="160"/>
      </w:pPr>
      <w:r>
        <w:rPr>
          <w:b/>
          <w:bCs/>
          <w:color w:val="1A3E75"/>
          <w:sz w:val="22"/>
          <w:szCs w:val="22"/>
        </w:rPr>
        <w:t xml:space="preserve">PR-008  </w:t>
      </w:r>
      <w:r>
        <w:rPr>
          <w:b/>
          <w:bCs/>
          <w:sz w:val="22"/>
          <w:szCs w:val="22"/>
        </w:rPr>
        <w:t xml:space="preserve">Verpackung</w:t>
      </w:r>
      <w:r>
        <w:rPr>
          <w:i/>
          <w:iCs/>
          <w:color w:val="666666"/>
          <w:sz w:val="20"/>
          <w:szCs w:val="20"/>
        </w:rPr>
        <w:t xml:space="preserve">  —  Packaging</w:t>
      </w:r>
    </w:p>
    <w:p>
      <w:pPr>
        <w:spacing w:after="120"/>
      </w:pPr>
      <w:r>
        <w:rPr>
          <w:sz w:val="21"/>
          <w:szCs w:val="21"/>
        </w:rPr>
        <w:t xml:space="preserve">Original- oder Ersatzverpackung, die für Rückversand bereitgestellt wird. Der Kunde hat Verpackung zumutbar wiederzuverwenden.</w:t>
      </w:r>
    </w:p>
    <w:p>
      <w:pPr>
        <w:spacing w:after="40" w:before="160"/>
      </w:pPr>
      <w:r>
        <w:rPr>
          <w:b/>
          <w:bCs/>
          <w:color w:val="1A3E75"/>
          <w:sz w:val="22"/>
          <w:szCs w:val="22"/>
        </w:rPr>
        <w:t xml:space="preserve">PR-009  </w:t>
      </w:r>
      <w:r>
        <w:rPr>
          <w:b/>
          <w:bCs/>
          <w:sz w:val="22"/>
          <w:szCs w:val="22"/>
        </w:rPr>
        <w:t xml:space="preserve">Zustandsklasse</w:t>
      </w:r>
      <w:r>
        <w:rPr>
          <w:i/>
          <w:iCs/>
          <w:color w:val="666666"/>
          <w:sz w:val="20"/>
          <w:szCs w:val="20"/>
        </w:rPr>
        <w:t xml:space="preserve">  —  Condition Grade</w:t>
      </w:r>
    </w:p>
    <w:p>
      <w:pPr>
        <w:spacing w:after="120"/>
      </w:pPr>
      <w:r>
        <w:rPr>
          <w:sz w:val="21"/>
          <w:szCs w:val="21"/>
        </w:rPr>
        <w:t xml:space="preserve">Standardisierte Bewertung des äußeren und funktionalen Zustands eines Assets nach dem Inspektionsschema (z. B. „Neu“, „Sehr gut“, „Gut“, „Akzeptabel“, „Defekt“).</w:t>
      </w:r>
    </w:p>
    <w:p>
      <w:pPr>
        <w:spacing w:after="40" w:before="160"/>
      </w:pPr>
      <w:r>
        <w:rPr>
          <w:b/>
          <w:bCs/>
          <w:color w:val="1A3E75"/>
          <w:sz w:val="22"/>
          <w:szCs w:val="22"/>
        </w:rPr>
        <w:t xml:space="preserve">PR-010  </w:t>
      </w:r>
      <w:r>
        <w:rPr>
          <w:b/>
          <w:bCs/>
          <w:sz w:val="22"/>
          <w:szCs w:val="22"/>
        </w:rPr>
        <w:t xml:space="preserve">Ausgangszustand</w:t>
      </w:r>
      <w:r>
        <w:rPr>
          <w:i/>
          <w:iCs/>
          <w:color w:val="666666"/>
          <w:sz w:val="20"/>
          <w:szCs w:val="20"/>
        </w:rPr>
        <w:t xml:space="preserve">  —  Baseline Condition</w:t>
      </w:r>
    </w:p>
    <w:p>
      <w:pPr>
        <w:spacing w:after="120"/>
      </w:pPr>
      <w:r>
        <w:rPr>
          <w:sz w:val="21"/>
          <w:szCs w:val="21"/>
        </w:rPr>
        <w:t xml:space="preserve">Dokumentierter Zustand des Assets zum Zeitpunkt der Übergabe an den Kunden. Grundlage jeder späteren Schadensbewertung.</w:t>
      </w:r>
    </w:p>
    <w:p>
      <w:pPr>
        <w:spacing w:after="40" w:before="160"/>
      </w:pPr>
      <w:r>
        <w:rPr>
          <w:b/>
          <w:bCs/>
          <w:color w:val="1A3E75"/>
          <w:sz w:val="22"/>
          <w:szCs w:val="22"/>
        </w:rPr>
        <w:t xml:space="preserve">PR-011  </w:t>
      </w:r>
      <w:r>
        <w:rPr>
          <w:b/>
          <w:bCs/>
          <w:sz w:val="22"/>
          <w:szCs w:val="22"/>
        </w:rPr>
        <w:t xml:space="preserve">Rückgabezustand</w:t>
      </w:r>
      <w:r>
        <w:rPr>
          <w:i/>
          <w:iCs/>
          <w:color w:val="666666"/>
          <w:sz w:val="20"/>
          <w:szCs w:val="20"/>
        </w:rPr>
        <w:t xml:space="preserve">  —  Return Condition</w:t>
      </w:r>
    </w:p>
    <w:p>
      <w:pPr>
        <w:spacing w:after="120"/>
      </w:pPr>
      <w:r>
        <w:rPr>
          <w:sz w:val="21"/>
          <w:szCs w:val="21"/>
        </w:rPr>
        <w:t xml:space="preserve">Dokumentierter Zustand des Assets zum Zeitpunkt des Wareneingangs nach Rückgabe. Wird gegen den Ausgangszustand abgeglichen.</w:t>
      </w:r>
    </w:p>
    <w:p>
      <w:pPr>
        <w:spacing w:after="40" w:before="160"/>
      </w:pPr>
      <w:r>
        <w:rPr>
          <w:b/>
          <w:bCs/>
          <w:color w:val="1A3E75"/>
          <w:sz w:val="22"/>
          <w:szCs w:val="22"/>
        </w:rPr>
        <w:t xml:space="preserve">PR-012  </w:t>
      </w:r>
      <w:r>
        <w:rPr>
          <w:b/>
          <w:bCs/>
          <w:sz w:val="22"/>
          <w:szCs w:val="22"/>
        </w:rPr>
        <w:t xml:space="preserve">Bestand</w:t>
      </w:r>
      <w:r>
        <w:rPr>
          <w:i/>
          <w:iCs/>
          <w:color w:val="666666"/>
          <w:sz w:val="20"/>
          <w:szCs w:val="20"/>
        </w:rPr>
        <w:t xml:space="preserve">  —  Inventory</w:t>
      </w:r>
    </w:p>
    <w:p>
      <w:pPr>
        <w:spacing w:after="120"/>
      </w:pPr>
      <w:r>
        <w:rPr>
          <w:sz w:val="21"/>
          <w:szCs w:val="21"/>
        </w:rPr>
        <w:t xml:space="preserve">Gesamtheit der Assets, die einem Warehouse-Standort und einem Eigentümer (LeasNet GmbH oder Vendor) zugeordnet sind.</w:t>
      </w:r>
    </w:p>
    <w:p>
      <w:pPr>
        <w:spacing w:after="40" w:before="160"/>
      </w:pPr>
      <w:r>
        <w:rPr>
          <w:b/>
          <w:bCs/>
          <w:color w:val="1A3E75"/>
          <w:sz w:val="22"/>
          <w:szCs w:val="22"/>
        </w:rPr>
        <w:t xml:space="preserve">PR-013  </w:t>
      </w:r>
      <w:r>
        <w:rPr>
          <w:b/>
          <w:bCs/>
          <w:sz w:val="22"/>
          <w:szCs w:val="22"/>
        </w:rPr>
        <w:t xml:space="preserve">Verfügbarkeitsfenster</w:t>
      </w:r>
      <w:r>
        <w:rPr>
          <w:i/>
          <w:iCs/>
          <w:color w:val="666666"/>
          <w:sz w:val="20"/>
          <w:szCs w:val="20"/>
        </w:rPr>
        <w:t xml:space="preserve">  —  Availability Window</w:t>
      </w:r>
    </w:p>
    <w:p>
      <w:pPr>
        <w:spacing w:after="120"/>
      </w:pPr>
      <w:r>
        <w:rPr>
          <w:sz w:val="21"/>
          <w:szCs w:val="21"/>
        </w:rPr>
        <w:t xml:space="preserve">Zeitraum, in dem ein Asset für eine Miete gebucht werden kann, unter Berücksichtigung von Prüf-, Reinigungs- und Puffertagen.</w:t>
      </w:r>
    </w:p>
    <w:p>
      <w:pPr>
        <w:spacing w:after="40" w:before="160"/>
      </w:pPr>
      <w:r>
        <w:rPr>
          <w:b/>
          <w:bCs/>
          <w:color w:val="1A3E75"/>
          <w:sz w:val="22"/>
          <w:szCs w:val="22"/>
        </w:rPr>
        <w:t xml:space="preserve">PR-014  </w:t>
      </w:r>
      <w:r>
        <w:rPr>
          <w:b/>
          <w:bCs/>
          <w:sz w:val="22"/>
          <w:szCs w:val="22"/>
        </w:rPr>
        <w:t xml:space="preserve">Puffertag</w:t>
      </w:r>
      <w:r>
        <w:rPr>
          <w:i/>
          <w:iCs/>
          <w:color w:val="666666"/>
          <w:sz w:val="20"/>
          <w:szCs w:val="20"/>
        </w:rPr>
        <w:t xml:space="preserve">  —  Turnaround Buffer</w:t>
      </w:r>
    </w:p>
    <w:p>
      <w:pPr>
        <w:spacing w:after="120"/>
      </w:pPr>
      <w:r>
        <w:rPr>
          <w:sz w:val="21"/>
          <w:szCs w:val="21"/>
        </w:rPr>
        <w:t xml:space="preserve">Reservierte Kalendertage zwischen zwei Mieten desselben Assets, in denen Rücktransport, Prüfung, Reinigung und Bereitstellung erfolgen.</w:t>
      </w:r>
    </w:p>
    <w:p>
      <w:pPr>
        <w:spacing w:after="40" w:before="160"/>
      </w:pPr>
      <w:r>
        <w:rPr>
          <w:b/>
          <w:bCs/>
          <w:color w:val="1A3E75"/>
          <w:sz w:val="22"/>
          <w:szCs w:val="22"/>
        </w:rPr>
        <w:t xml:space="preserve">PR-015  </w:t>
      </w:r>
      <w:r>
        <w:rPr>
          <w:b/>
          <w:bCs/>
          <w:sz w:val="22"/>
          <w:szCs w:val="22"/>
        </w:rPr>
        <w:t xml:space="preserve">Listing</w:t>
      </w:r>
      <w:r>
        <w:rPr>
          <w:i/>
          <w:iCs/>
          <w:color w:val="666666"/>
          <w:sz w:val="20"/>
          <w:szCs w:val="20"/>
        </w:rPr>
        <w:t xml:space="preserve">  —  Listing</w:t>
      </w:r>
    </w:p>
    <w:p>
      <w:pPr>
        <w:spacing w:after="120"/>
      </w:pPr>
      <w:r>
        <w:rPr>
          <w:sz w:val="21"/>
          <w:szCs w:val="21"/>
        </w:rPr>
        <w:t xml:space="preserve">Öffentlich sichtbare Darstellung eines Produkts oder eines Assets auf der Plattform; besteht aus Bildern, Beschreibung, Preisen, Verfügbarkeit und Bedingungen.</w:t>
      </w:r>
    </w:p>
    <w:p>
      <w:pPr>
        <w:spacing w:after="40" w:before="160"/>
      </w:pPr>
      <w:r>
        <w:rPr>
          <w:b/>
          <w:bCs/>
          <w:color w:val="1A3E75"/>
          <w:sz w:val="22"/>
          <w:szCs w:val="22"/>
        </w:rPr>
        <w:t xml:space="preserve">PR-016  </w:t>
      </w:r>
      <w:r>
        <w:rPr>
          <w:b/>
          <w:bCs/>
          <w:sz w:val="22"/>
          <w:szCs w:val="22"/>
        </w:rPr>
        <w:t xml:space="preserve">Listing-Owner</w:t>
      </w:r>
      <w:r>
        <w:rPr>
          <w:i/>
          <w:iCs/>
          <w:color w:val="666666"/>
          <w:sz w:val="20"/>
          <w:szCs w:val="20"/>
        </w:rPr>
        <w:t xml:space="preserve">  —  Listing Owner</w:t>
      </w:r>
    </w:p>
    <w:p>
      <w:pPr>
        <w:spacing w:after="120"/>
      </w:pPr>
      <w:r>
        <w:rPr>
          <w:sz w:val="21"/>
          <w:szCs w:val="21"/>
        </w:rPr>
        <w:t xml:space="preserve">Die Partei (LeasNet GmbH oder Vendor), die für den Inhalt des Listings, seine Richtigkeit und seine Aktualität verantwortlich ist.</w:t>
      </w:r>
    </w:p>
    <w:p>
      <w:pPr>
        <w:spacing w:after="40" w:before="160"/>
      </w:pPr>
      <w:r>
        <w:rPr>
          <w:b/>
          <w:bCs/>
          <w:color w:val="1A3E75"/>
          <w:sz w:val="22"/>
          <w:szCs w:val="22"/>
        </w:rPr>
        <w:t xml:space="preserve">PR-017  </w:t>
      </w:r>
      <w:r>
        <w:rPr>
          <w:b/>
          <w:bCs/>
          <w:sz w:val="22"/>
          <w:szCs w:val="22"/>
        </w:rPr>
        <w:t xml:space="preserve">Katalog</w:t>
      </w:r>
      <w:r>
        <w:rPr>
          <w:i/>
          <w:iCs/>
          <w:color w:val="666666"/>
          <w:sz w:val="20"/>
          <w:szCs w:val="20"/>
        </w:rPr>
        <w:t xml:space="preserve">  —  Catalog</w:t>
      </w:r>
    </w:p>
    <w:p>
      <w:pPr>
        <w:spacing w:after="120"/>
      </w:pPr>
      <w:r>
        <w:rPr>
          <w:sz w:val="21"/>
          <w:szCs w:val="21"/>
        </w:rPr>
        <w:t xml:space="preserve">Sortimentsgesamtheit sämtlicher aktiven Produkte, gegliedert nach Kategorie und Subkategorie.</w:t>
      </w:r>
    </w:p>
    <w:p>
      <w:pPr>
        <w:spacing w:after="40" w:before="160"/>
      </w:pPr>
      <w:r>
        <w:rPr>
          <w:b/>
          <w:bCs/>
          <w:color w:val="1A3E75"/>
          <w:sz w:val="22"/>
          <w:szCs w:val="22"/>
        </w:rPr>
        <w:t xml:space="preserve">PR-018  </w:t>
      </w:r>
      <w:r>
        <w:rPr>
          <w:b/>
          <w:bCs/>
          <w:sz w:val="22"/>
          <w:szCs w:val="22"/>
        </w:rPr>
        <w:t xml:space="preserve">Kategorie</w:t>
      </w:r>
      <w:r>
        <w:rPr>
          <w:i/>
          <w:iCs/>
          <w:color w:val="666666"/>
          <w:sz w:val="20"/>
          <w:szCs w:val="20"/>
        </w:rPr>
        <w:t xml:space="preserve">  —  Category</w:t>
      </w:r>
    </w:p>
    <w:p>
      <w:pPr>
        <w:spacing w:after="120"/>
      </w:pPr>
      <w:r>
        <w:rPr>
          <w:sz w:val="21"/>
          <w:szCs w:val="21"/>
        </w:rPr>
        <w:t xml:space="preserve">Oberste Gliederungsebene des Katalogs; steuert Suchfilter, Standardregeln und ggf. spezielle Miet- oder Sicherheitsanforderungen.</w:t>
      </w:r>
    </w:p>
    <w:p>
      <w:pPr>
        <w:spacing w:after="40" w:before="160"/>
      </w:pPr>
      <w:r>
        <w:rPr>
          <w:b/>
          <w:bCs/>
          <w:color w:val="1A3E75"/>
          <w:sz w:val="22"/>
          <w:szCs w:val="22"/>
        </w:rPr>
        <w:t xml:space="preserve">PR-019  </w:t>
      </w:r>
      <w:r>
        <w:rPr>
          <w:b/>
          <w:bCs/>
          <w:sz w:val="22"/>
          <w:szCs w:val="22"/>
        </w:rPr>
        <w:t xml:space="preserve">Zulässiges Produkt</w:t>
      </w:r>
      <w:r>
        <w:rPr>
          <w:i/>
          <w:iCs/>
          <w:color w:val="666666"/>
          <w:sz w:val="20"/>
          <w:szCs w:val="20"/>
        </w:rPr>
        <w:t xml:space="preserve">  —  Permitted Product</w:t>
      </w:r>
    </w:p>
    <w:p>
      <w:pPr>
        <w:spacing w:after="120"/>
      </w:pPr>
      <w:r>
        <w:rPr>
          <w:sz w:val="21"/>
          <w:szCs w:val="21"/>
        </w:rPr>
        <w:t xml:space="preserve">Produkt, das den in der Produkt-Policy definierten Vermietbarkeits- und Sicherheitsanforderungen entspricht.</w:t>
      </w:r>
    </w:p>
    <w:p>
      <w:pPr>
        <w:spacing w:after="40" w:before="160"/>
      </w:pPr>
      <w:r>
        <w:rPr>
          <w:b/>
          <w:bCs/>
          <w:color w:val="1A3E75"/>
          <w:sz w:val="22"/>
          <w:szCs w:val="22"/>
        </w:rPr>
        <w:t xml:space="preserve">PR-020  </w:t>
      </w:r>
      <w:r>
        <w:rPr>
          <w:b/>
          <w:bCs/>
          <w:sz w:val="22"/>
          <w:szCs w:val="22"/>
        </w:rPr>
        <w:t xml:space="preserve">Unzulässiges Produkt</w:t>
      </w:r>
      <w:r>
        <w:rPr>
          <w:i/>
          <w:iCs/>
          <w:color w:val="666666"/>
          <w:sz w:val="20"/>
          <w:szCs w:val="20"/>
        </w:rPr>
        <w:t xml:space="preserve">  —  Prohibited Product</w:t>
      </w:r>
    </w:p>
    <w:p>
      <w:pPr>
        <w:spacing w:after="120"/>
      </w:pPr>
      <w:r>
        <w:rPr>
          <w:sz w:val="21"/>
          <w:szCs w:val="21"/>
        </w:rPr>
        <w:t xml:space="preserve">Produkt, dessen Bereitstellung auf der Plattform nach der Produkt-Policy ausgeschlossen ist (z. B. Waffen, Rezeptpflichtiges, gefährliche Güter, Nachahmungen).</w:t>
      </w:r>
    </w:p>
    <w:p>
      <w:pPr>
        <w:pStyle w:val="Heading2"/>
      </w:pPr>
      <w:r>
        <w:t xml:space="preserve">BK · Buchung, Reservierung, Miete</w:t>
      </w:r>
    </w:p>
    <w:p>
      <w:pPr>
        <w:spacing w:after="40" w:before="160"/>
      </w:pPr>
      <w:r>
        <w:rPr>
          <w:b/>
          <w:bCs/>
          <w:color w:val="1A3E75"/>
          <w:sz w:val="22"/>
          <w:szCs w:val="22"/>
        </w:rPr>
        <w:t xml:space="preserve">BK-001  </w:t>
      </w:r>
      <w:r>
        <w:rPr>
          <w:b/>
          <w:bCs/>
          <w:sz w:val="22"/>
          <w:szCs w:val="22"/>
        </w:rPr>
        <w:t xml:space="preserve">Reservierung</w:t>
      </w:r>
      <w:r>
        <w:rPr>
          <w:i/>
          <w:iCs/>
          <w:color w:val="666666"/>
          <w:sz w:val="20"/>
          <w:szCs w:val="20"/>
        </w:rPr>
        <w:t xml:space="preserve">  —  Reservation</w:t>
      </w:r>
    </w:p>
    <w:p>
      <w:pPr>
        <w:spacing w:after="120"/>
      </w:pPr>
      <w:r>
        <w:rPr>
          <w:sz w:val="21"/>
          <w:szCs w:val="21"/>
        </w:rPr>
        <w:t xml:space="preserve">Vormerkung eines bestimmten Produkts oder Assets für einen definierten Zeitraum, ohne bereits einen bindenden Mietvertrag zu begründen.</w:t>
      </w:r>
    </w:p>
    <w:p>
      <w:pPr>
        <w:spacing w:after="40" w:before="160"/>
      </w:pPr>
      <w:r>
        <w:rPr>
          <w:b/>
          <w:bCs/>
          <w:color w:val="1A3E75"/>
          <w:sz w:val="22"/>
          <w:szCs w:val="22"/>
        </w:rPr>
        <w:t xml:space="preserve">BK-002  </w:t>
      </w:r>
      <w:r>
        <w:rPr>
          <w:b/>
          <w:bCs/>
          <w:sz w:val="22"/>
          <w:szCs w:val="22"/>
        </w:rPr>
        <w:t xml:space="preserve">Buchung</w:t>
      </w:r>
      <w:r>
        <w:rPr>
          <w:i/>
          <w:iCs/>
          <w:color w:val="666666"/>
          <w:sz w:val="20"/>
          <w:szCs w:val="20"/>
        </w:rPr>
        <w:t xml:space="preserve">  —  Booking</w:t>
      </w:r>
    </w:p>
    <w:p>
      <w:pPr>
        <w:spacing w:after="120"/>
      </w:pPr>
      <w:r>
        <w:rPr>
          <w:sz w:val="21"/>
          <w:szCs w:val="21"/>
        </w:rPr>
        <w:t xml:space="preserve">Bindende Anfrage des Kunden auf Abschluss eines Mietvertrages nach Auswahl von Produkt, Zeitraum, Optionen und Bezahlung bzw. Kautionsfreigabe.</w:t>
      </w:r>
    </w:p>
    <w:p>
      <w:pPr>
        <w:spacing w:after="40" w:before="160"/>
      </w:pPr>
      <w:r>
        <w:rPr>
          <w:b/>
          <w:bCs/>
          <w:color w:val="1A3E75"/>
          <w:sz w:val="22"/>
          <w:szCs w:val="22"/>
        </w:rPr>
        <w:t xml:space="preserve">BK-003  </w:t>
      </w:r>
      <w:r>
        <w:rPr>
          <w:b/>
          <w:bCs/>
          <w:sz w:val="22"/>
          <w:szCs w:val="22"/>
        </w:rPr>
        <w:t xml:space="preserve">Miete</w:t>
      </w:r>
      <w:r>
        <w:rPr>
          <w:i/>
          <w:iCs/>
          <w:color w:val="666666"/>
          <w:sz w:val="20"/>
          <w:szCs w:val="20"/>
        </w:rPr>
        <w:t xml:space="preserve">  —  Rental</w:t>
      </w:r>
    </w:p>
    <w:p>
      <w:pPr>
        <w:spacing w:after="120"/>
      </w:pPr>
      <w:r>
        <w:rPr>
          <w:sz w:val="21"/>
          <w:szCs w:val="21"/>
        </w:rPr>
        <w:t xml:space="preserve">Der zwischen Kunde und Vertragspartner rechtsverbindlich geschlossene Mietvertrag über ein Produkt oder Asset für einen definierten Zeitraum.</w:t>
      </w:r>
    </w:p>
    <w:p>
      <w:pPr>
        <w:spacing w:after="40" w:before="160"/>
      </w:pPr>
      <w:r>
        <w:rPr>
          <w:b/>
          <w:bCs/>
          <w:color w:val="1A3E75"/>
          <w:sz w:val="22"/>
          <w:szCs w:val="22"/>
        </w:rPr>
        <w:t xml:space="preserve">BK-004  </w:t>
      </w:r>
      <w:r>
        <w:rPr>
          <w:b/>
          <w:bCs/>
          <w:sz w:val="22"/>
          <w:szCs w:val="22"/>
        </w:rPr>
        <w:t xml:space="preserve">Miet-ID</w:t>
      </w:r>
      <w:r>
        <w:rPr>
          <w:i/>
          <w:iCs/>
          <w:color w:val="666666"/>
          <w:sz w:val="20"/>
          <w:szCs w:val="20"/>
        </w:rPr>
        <w:t xml:space="preserve">  —  Rental ID</w:t>
      </w:r>
    </w:p>
    <w:p>
      <w:pPr>
        <w:spacing w:after="120"/>
      </w:pPr>
      <w:r>
        <w:rPr>
          <w:sz w:val="21"/>
          <w:szCs w:val="21"/>
        </w:rPr>
        <w:t xml:space="preserve">Eindeutiger Identifikator einer Miete auf der Plattform; dient als Referenz auf Vertragsdokumenten, Rechnungen und Kommunikation.</w:t>
      </w:r>
    </w:p>
    <w:p>
      <w:pPr>
        <w:spacing w:after="40" w:before="160"/>
      </w:pPr>
      <w:r>
        <w:rPr>
          <w:b/>
          <w:bCs/>
          <w:color w:val="1A3E75"/>
          <w:sz w:val="22"/>
          <w:szCs w:val="22"/>
        </w:rPr>
        <w:t xml:space="preserve">BK-005  </w:t>
      </w:r>
      <w:r>
        <w:rPr>
          <w:b/>
          <w:bCs/>
          <w:sz w:val="22"/>
          <w:szCs w:val="22"/>
        </w:rPr>
        <w:t xml:space="preserve">Buchungsbestätigung</w:t>
      </w:r>
      <w:r>
        <w:rPr>
          <w:i/>
          <w:iCs/>
          <w:color w:val="666666"/>
          <w:sz w:val="20"/>
          <w:szCs w:val="20"/>
        </w:rPr>
        <w:t xml:space="preserve">  —  Booking Confirmation</w:t>
      </w:r>
    </w:p>
    <w:p>
      <w:pPr>
        <w:spacing w:after="120"/>
      </w:pPr>
      <w:r>
        <w:rPr>
          <w:sz w:val="21"/>
          <w:szCs w:val="21"/>
        </w:rPr>
        <w:t xml:space="preserve">Elektronische Erklärung der Vertragsannahme durch den Vertragspartner; erst mit der Buchungsbestätigung kommt der Mietvertrag zustande.</w:t>
      </w:r>
    </w:p>
    <w:p>
      <w:pPr>
        <w:spacing w:after="40" w:before="160"/>
      </w:pPr>
      <w:r>
        <w:rPr>
          <w:b/>
          <w:bCs/>
          <w:color w:val="1A3E75"/>
          <w:sz w:val="22"/>
          <w:szCs w:val="22"/>
        </w:rPr>
        <w:t xml:space="preserve">BK-006  </w:t>
      </w:r>
      <w:r>
        <w:rPr>
          <w:b/>
          <w:bCs/>
          <w:sz w:val="22"/>
          <w:szCs w:val="22"/>
        </w:rPr>
        <w:t xml:space="preserve">Abholung</w:t>
      </w:r>
      <w:r>
        <w:rPr>
          <w:i/>
          <w:iCs/>
          <w:color w:val="666666"/>
          <w:sz w:val="20"/>
          <w:szCs w:val="20"/>
        </w:rPr>
        <w:t xml:space="preserve">  —  Pickup</w:t>
      </w:r>
    </w:p>
    <w:p>
      <w:pPr>
        <w:spacing w:after="120"/>
      </w:pPr>
      <w:r>
        <w:rPr>
          <w:sz w:val="21"/>
          <w:szCs w:val="21"/>
        </w:rPr>
        <w:t xml:space="preserve">Übergabe des Assets an den Kunden an einem Warehouse-Standort oder per persönlicher Abholung; alternative zu Versand.</w:t>
      </w:r>
    </w:p>
    <w:p>
      <w:pPr>
        <w:spacing w:after="40" w:before="160"/>
      </w:pPr>
      <w:r>
        <w:rPr>
          <w:b/>
          <w:bCs/>
          <w:color w:val="1A3E75"/>
          <w:sz w:val="22"/>
          <w:szCs w:val="22"/>
        </w:rPr>
        <w:t xml:space="preserve">BK-007  </w:t>
      </w:r>
      <w:r>
        <w:rPr>
          <w:b/>
          <w:bCs/>
          <w:sz w:val="22"/>
          <w:szCs w:val="22"/>
        </w:rPr>
        <w:t xml:space="preserve">Versand</w:t>
      </w:r>
      <w:r>
        <w:rPr>
          <w:i/>
          <w:iCs/>
          <w:color w:val="666666"/>
          <w:sz w:val="20"/>
          <w:szCs w:val="20"/>
        </w:rPr>
        <w:t xml:space="preserve">  —  Shipping</w:t>
      </w:r>
    </w:p>
    <w:p>
      <w:pPr>
        <w:spacing w:after="120"/>
      </w:pPr>
      <w:r>
        <w:rPr>
          <w:sz w:val="21"/>
          <w:szCs w:val="21"/>
        </w:rPr>
        <w:t xml:space="preserve">Zustellung des Assets an eine vom Kunden angegebene Adresse durch einen von der Plattform beauftragten Versanddienstleister.</w:t>
      </w:r>
    </w:p>
    <w:p>
      <w:pPr>
        <w:spacing w:after="40" w:before="160"/>
      </w:pPr>
      <w:r>
        <w:rPr>
          <w:b/>
          <w:bCs/>
          <w:color w:val="1A3E75"/>
          <w:sz w:val="22"/>
          <w:szCs w:val="22"/>
        </w:rPr>
        <w:t xml:space="preserve">BK-008  </w:t>
      </w:r>
      <w:r>
        <w:rPr>
          <w:b/>
          <w:bCs/>
          <w:sz w:val="22"/>
          <w:szCs w:val="22"/>
        </w:rPr>
        <w:t xml:space="preserve">Zustellung</w:t>
      </w:r>
      <w:r>
        <w:rPr>
          <w:i/>
          <w:iCs/>
          <w:color w:val="666666"/>
          <w:sz w:val="20"/>
          <w:szCs w:val="20"/>
        </w:rPr>
        <w:t xml:space="preserve">  —  Delivery</w:t>
      </w:r>
    </w:p>
    <w:p>
      <w:pPr>
        <w:spacing w:after="120"/>
      </w:pPr>
      <w:r>
        <w:rPr>
          <w:sz w:val="21"/>
          <w:szCs w:val="21"/>
        </w:rPr>
        <w:t xml:space="preserve">Der Zeitpunkt, zu dem das Asset dem Kunden oder einem von ihm bevollmächtigten Empfänger tatsächlich übergeben wird.</w:t>
      </w:r>
    </w:p>
    <w:p>
      <w:pPr>
        <w:spacing w:after="40" w:before="160"/>
      </w:pPr>
      <w:r>
        <w:rPr>
          <w:b/>
          <w:bCs/>
          <w:color w:val="1A3E75"/>
          <w:sz w:val="22"/>
          <w:szCs w:val="22"/>
        </w:rPr>
        <w:t xml:space="preserve">BK-009  </w:t>
      </w:r>
      <w:r>
        <w:rPr>
          <w:b/>
          <w:bCs/>
          <w:sz w:val="22"/>
          <w:szCs w:val="22"/>
        </w:rPr>
        <w:t xml:space="preserve">Mietbeginn</w:t>
      </w:r>
      <w:r>
        <w:rPr>
          <w:i/>
          <w:iCs/>
          <w:color w:val="666666"/>
          <w:sz w:val="20"/>
          <w:szCs w:val="20"/>
        </w:rPr>
        <w:t xml:space="preserve">  —  Rental Start</w:t>
      </w:r>
    </w:p>
    <w:p>
      <w:pPr>
        <w:spacing w:after="120"/>
      </w:pPr>
      <w:r>
        <w:rPr>
          <w:sz w:val="21"/>
          <w:szCs w:val="21"/>
        </w:rPr>
        <w:t xml:space="preserve">Kalendertag, an dem der vertraglich vereinbarte Nutzungszeitraum beginnt; unabhängig vom tatsächlichen Zustelldatum, soweit dies dem Kunden zurechenbar ist.</w:t>
      </w:r>
    </w:p>
    <w:p>
      <w:pPr>
        <w:spacing w:after="40" w:before="160"/>
      </w:pPr>
      <w:r>
        <w:rPr>
          <w:b/>
          <w:bCs/>
          <w:color w:val="1A3E75"/>
          <w:sz w:val="22"/>
          <w:szCs w:val="22"/>
        </w:rPr>
        <w:t xml:space="preserve">BK-010  </w:t>
      </w:r>
      <w:r>
        <w:rPr>
          <w:b/>
          <w:bCs/>
          <w:sz w:val="22"/>
          <w:szCs w:val="22"/>
        </w:rPr>
        <w:t xml:space="preserve">Mietende</w:t>
      </w:r>
      <w:r>
        <w:rPr>
          <w:i/>
          <w:iCs/>
          <w:color w:val="666666"/>
          <w:sz w:val="20"/>
          <w:szCs w:val="20"/>
        </w:rPr>
        <w:t xml:space="preserve">  —  Rental End</w:t>
      </w:r>
    </w:p>
    <w:p>
      <w:pPr>
        <w:spacing w:after="120"/>
      </w:pPr>
      <w:r>
        <w:rPr>
          <w:sz w:val="21"/>
          <w:szCs w:val="21"/>
        </w:rPr>
        <w:t xml:space="preserve">Kalendertag, an dem der vertraglich vereinbarte Nutzungszeitraum endet und das Asset spätestens zurückzugeben ist.</w:t>
      </w:r>
    </w:p>
    <w:p>
      <w:pPr>
        <w:spacing w:after="40" w:before="160"/>
      </w:pPr>
      <w:r>
        <w:rPr>
          <w:b/>
          <w:bCs/>
          <w:color w:val="1A3E75"/>
          <w:sz w:val="22"/>
          <w:szCs w:val="22"/>
        </w:rPr>
        <w:t xml:space="preserve">BK-011  </w:t>
      </w:r>
      <w:r>
        <w:rPr>
          <w:b/>
          <w:bCs/>
          <w:sz w:val="22"/>
          <w:szCs w:val="22"/>
        </w:rPr>
        <w:t xml:space="preserve">Rückgabe</w:t>
      </w:r>
      <w:r>
        <w:rPr>
          <w:i/>
          <w:iCs/>
          <w:color w:val="666666"/>
          <w:sz w:val="20"/>
          <w:szCs w:val="20"/>
        </w:rPr>
        <w:t xml:space="preserve">  —  Return</w:t>
      </w:r>
    </w:p>
    <w:p>
      <w:pPr>
        <w:spacing w:after="120"/>
      </w:pPr>
      <w:r>
        <w:rPr>
          <w:sz w:val="21"/>
          <w:szCs w:val="21"/>
        </w:rPr>
        <w:t xml:space="preserve">Übergabe des Assets an ein Warehouse oder an einen von der Plattform bestimmten Versanddienstleister durch den Kunden.</w:t>
      </w:r>
    </w:p>
    <w:p>
      <w:pPr>
        <w:spacing w:after="40" w:before="160"/>
      </w:pPr>
      <w:r>
        <w:rPr>
          <w:b/>
          <w:bCs/>
          <w:color w:val="1A3E75"/>
          <w:sz w:val="22"/>
          <w:szCs w:val="22"/>
        </w:rPr>
        <w:t xml:space="preserve">BK-012  </w:t>
      </w:r>
      <w:r>
        <w:rPr>
          <w:b/>
          <w:bCs/>
          <w:sz w:val="22"/>
          <w:szCs w:val="22"/>
        </w:rPr>
        <w:t xml:space="preserve">Rückgabefenster</w:t>
      </w:r>
      <w:r>
        <w:rPr>
          <w:i/>
          <w:iCs/>
          <w:color w:val="666666"/>
          <w:sz w:val="20"/>
          <w:szCs w:val="20"/>
        </w:rPr>
        <w:t xml:space="preserve">  —  Return Window</w:t>
      </w:r>
    </w:p>
    <w:p>
      <w:pPr>
        <w:spacing w:after="120"/>
      </w:pPr>
      <w:r>
        <w:rPr>
          <w:sz w:val="21"/>
          <w:szCs w:val="21"/>
        </w:rPr>
        <w:t xml:space="preserve">Zeitraum zwischen dem Mietende und dem Ablauf der Kulanzfrist, in dem eine straffreie Rückgabe möglich ist.</w:t>
      </w:r>
    </w:p>
    <w:p>
      <w:pPr>
        <w:spacing w:after="40" w:before="160"/>
      </w:pPr>
      <w:r>
        <w:rPr>
          <w:b/>
          <w:bCs/>
          <w:color w:val="1A3E75"/>
          <w:sz w:val="22"/>
          <w:szCs w:val="22"/>
        </w:rPr>
        <w:t xml:space="preserve">BK-013  </w:t>
      </w:r>
      <w:r>
        <w:rPr>
          <w:b/>
          <w:bCs/>
          <w:sz w:val="22"/>
          <w:szCs w:val="22"/>
        </w:rPr>
        <w:t xml:space="preserve">Kulanzfrist</w:t>
      </w:r>
      <w:r>
        <w:rPr>
          <w:i/>
          <w:iCs/>
          <w:color w:val="666666"/>
          <w:sz w:val="20"/>
          <w:szCs w:val="20"/>
        </w:rPr>
        <w:t xml:space="preserve">  —  Grace Period</w:t>
      </w:r>
    </w:p>
    <w:p>
      <w:pPr>
        <w:spacing w:after="120"/>
      </w:pPr>
      <w:r>
        <w:rPr>
          <w:sz w:val="21"/>
          <w:szCs w:val="21"/>
        </w:rPr>
        <w:t xml:space="preserve">Definierte Anzahl von Stunden nach Mietende, innerhalb derer verspätete Rückgaben ohne Zuschlag akzeptiert werden.</w:t>
      </w:r>
    </w:p>
    <w:p>
      <w:pPr>
        <w:spacing w:after="40" w:before="160"/>
      </w:pPr>
      <w:r>
        <w:rPr>
          <w:b/>
          <w:bCs/>
          <w:color w:val="1A3E75"/>
          <w:sz w:val="22"/>
          <w:szCs w:val="22"/>
        </w:rPr>
        <w:t xml:space="preserve">BK-014  </w:t>
      </w:r>
      <w:r>
        <w:rPr>
          <w:b/>
          <w:bCs/>
          <w:sz w:val="22"/>
          <w:szCs w:val="22"/>
        </w:rPr>
        <w:t xml:space="preserve">Verspätete Rückgabe</w:t>
      </w:r>
      <w:r>
        <w:rPr>
          <w:i/>
          <w:iCs/>
          <w:color w:val="666666"/>
          <w:sz w:val="20"/>
          <w:szCs w:val="20"/>
        </w:rPr>
        <w:t xml:space="preserve">  —  Late Return</w:t>
      </w:r>
    </w:p>
    <w:p>
      <w:pPr>
        <w:spacing w:after="120"/>
      </w:pPr>
      <w:r>
        <w:rPr>
          <w:sz w:val="21"/>
          <w:szCs w:val="21"/>
        </w:rPr>
        <w:t xml:space="preserve">Rückgabe nach Ablauf der Kulanzfrist; löst Verspätungszuschläge und ggf. Sperrmaßnahmen aus.</w:t>
      </w:r>
    </w:p>
    <w:p>
      <w:pPr>
        <w:spacing w:after="40" w:before="160"/>
      </w:pPr>
      <w:r>
        <w:rPr>
          <w:b/>
          <w:bCs/>
          <w:color w:val="1A3E75"/>
          <w:sz w:val="22"/>
          <w:szCs w:val="22"/>
        </w:rPr>
        <w:t xml:space="preserve">BK-015  </w:t>
      </w:r>
      <w:r>
        <w:rPr>
          <w:b/>
          <w:bCs/>
          <w:sz w:val="22"/>
          <w:szCs w:val="22"/>
        </w:rPr>
        <w:t xml:space="preserve">Nichtrückgabe</w:t>
      </w:r>
      <w:r>
        <w:rPr>
          <w:i/>
          <w:iCs/>
          <w:color w:val="666666"/>
          <w:sz w:val="20"/>
          <w:szCs w:val="20"/>
        </w:rPr>
        <w:t xml:space="preserve">  —  No Return</w:t>
      </w:r>
    </w:p>
    <w:p>
      <w:pPr>
        <w:spacing w:after="120"/>
      </w:pPr>
      <w:r>
        <w:rPr>
          <w:sz w:val="21"/>
          <w:szCs w:val="21"/>
        </w:rPr>
        <w:t xml:space="preserve">Nichterfolgen einer Rückgabe innerhalb einer definierten Höchstfrist nach Mietende; wird als Totalverlust behandelt.</w:t>
      </w:r>
    </w:p>
    <w:p>
      <w:pPr>
        <w:spacing w:after="40" w:before="160"/>
      </w:pPr>
      <w:r>
        <w:rPr>
          <w:b/>
          <w:bCs/>
          <w:color w:val="1A3E75"/>
          <w:sz w:val="22"/>
          <w:szCs w:val="22"/>
        </w:rPr>
        <w:t xml:space="preserve">BK-016  </w:t>
      </w:r>
      <w:r>
        <w:rPr>
          <w:b/>
          <w:bCs/>
          <w:sz w:val="22"/>
          <w:szCs w:val="22"/>
        </w:rPr>
        <w:t xml:space="preserve">Stornierung</w:t>
      </w:r>
      <w:r>
        <w:rPr>
          <w:i/>
          <w:iCs/>
          <w:color w:val="666666"/>
          <w:sz w:val="20"/>
          <w:szCs w:val="20"/>
        </w:rPr>
        <w:t xml:space="preserve">  —  Cancellation</w:t>
      </w:r>
    </w:p>
    <w:p>
      <w:pPr>
        <w:spacing w:after="120"/>
      </w:pPr>
      <w:r>
        <w:rPr>
          <w:sz w:val="21"/>
          <w:szCs w:val="21"/>
        </w:rPr>
        <w:t xml:space="preserve">Beendigung einer noch nicht begonnenen Miete durch den Kunden oder Vermieter nach den einschlägigen Stornierungsregeln.</w:t>
      </w:r>
    </w:p>
    <w:p>
      <w:pPr>
        <w:spacing w:after="40" w:before="160"/>
      </w:pPr>
      <w:r>
        <w:rPr>
          <w:b/>
          <w:bCs/>
          <w:color w:val="1A3E75"/>
          <w:sz w:val="22"/>
          <w:szCs w:val="22"/>
        </w:rPr>
        <w:t xml:space="preserve">BK-017  </w:t>
      </w:r>
      <w:r>
        <w:rPr>
          <w:b/>
          <w:bCs/>
          <w:sz w:val="22"/>
          <w:szCs w:val="22"/>
        </w:rPr>
        <w:t xml:space="preserve">No-Show</w:t>
      </w:r>
      <w:r>
        <w:rPr>
          <w:i/>
          <w:iCs/>
          <w:color w:val="666666"/>
          <w:sz w:val="20"/>
          <w:szCs w:val="20"/>
        </w:rPr>
        <w:t xml:space="preserve">  —  No-Show</w:t>
      </w:r>
    </w:p>
    <w:p>
      <w:pPr>
        <w:spacing w:after="120"/>
      </w:pPr>
      <w:r>
        <w:rPr>
          <w:sz w:val="21"/>
          <w:szCs w:val="21"/>
        </w:rPr>
        <w:t xml:space="preserve">Nichtantreten der vereinbarten Abholung oder Nichtannahme der Lieferung durch den Kunden ohne Absage.</w:t>
      </w:r>
    </w:p>
    <w:p>
      <w:pPr>
        <w:spacing w:after="40" w:before="160"/>
      </w:pPr>
      <w:r>
        <w:rPr>
          <w:b/>
          <w:bCs/>
          <w:color w:val="1A3E75"/>
          <w:sz w:val="22"/>
          <w:szCs w:val="22"/>
        </w:rPr>
        <w:t xml:space="preserve">BK-018  </w:t>
      </w:r>
      <w:r>
        <w:rPr>
          <w:b/>
          <w:bCs/>
          <w:sz w:val="22"/>
          <w:szCs w:val="22"/>
        </w:rPr>
        <w:t xml:space="preserve">Vorzeitige Rückgabe</w:t>
      </w:r>
      <w:r>
        <w:rPr>
          <w:i/>
          <w:iCs/>
          <w:color w:val="666666"/>
          <w:sz w:val="20"/>
          <w:szCs w:val="20"/>
        </w:rPr>
        <w:t xml:space="preserve">  —  Early Return</w:t>
      </w:r>
    </w:p>
    <w:p>
      <w:pPr>
        <w:spacing w:after="120"/>
      </w:pPr>
      <w:r>
        <w:rPr>
          <w:sz w:val="21"/>
          <w:szCs w:val="21"/>
        </w:rPr>
        <w:t xml:space="preserve">Rückgabe des Assets vor dem vereinbarten Mietende. Grundsätzlich ohne Anspruch auf Rückvergütung, soweit nicht abweichend geregelt.</w:t>
      </w:r>
    </w:p>
    <w:p>
      <w:pPr>
        <w:spacing w:after="40" w:before="160"/>
      </w:pPr>
      <w:r>
        <w:rPr>
          <w:b/>
          <w:bCs/>
          <w:color w:val="1A3E75"/>
          <w:sz w:val="22"/>
          <w:szCs w:val="22"/>
        </w:rPr>
        <w:t xml:space="preserve">BK-019  </w:t>
      </w:r>
      <w:r>
        <w:rPr>
          <w:b/>
          <w:bCs/>
          <w:sz w:val="22"/>
          <w:szCs w:val="22"/>
        </w:rPr>
        <w:t xml:space="preserve">Umbuchung</w:t>
      </w:r>
      <w:r>
        <w:rPr>
          <w:i/>
          <w:iCs/>
          <w:color w:val="666666"/>
          <w:sz w:val="20"/>
          <w:szCs w:val="20"/>
        </w:rPr>
        <w:t xml:space="preserve">  —  Rebooking</w:t>
      </w:r>
    </w:p>
    <w:p>
      <w:pPr>
        <w:spacing w:after="120"/>
      </w:pPr>
      <w:r>
        <w:rPr>
          <w:sz w:val="21"/>
          <w:szCs w:val="21"/>
        </w:rPr>
        <w:t xml:space="preserve">Änderung des Miet-Zeitraums oder des Assets vor Mietbeginn; setzt Verfügbarkeit und beiderseitige Zustimmung voraus.</w:t>
      </w:r>
    </w:p>
    <w:p>
      <w:pPr>
        <w:spacing w:after="40" w:before="160"/>
      </w:pPr>
      <w:r>
        <w:rPr>
          <w:b/>
          <w:bCs/>
          <w:color w:val="1A3E75"/>
          <w:sz w:val="22"/>
          <w:szCs w:val="22"/>
        </w:rPr>
        <w:t xml:space="preserve">BK-020  </w:t>
      </w:r>
      <w:r>
        <w:rPr>
          <w:b/>
          <w:bCs/>
          <w:sz w:val="22"/>
          <w:szCs w:val="22"/>
        </w:rPr>
        <w:t xml:space="preserve">Kollision</w:t>
      </w:r>
      <w:r>
        <w:rPr>
          <w:i/>
          <w:iCs/>
          <w:color w:val="666666"/>
          <w:sz w:val="20"/>
          <w:szCs w:val="20"/>
        </w:rPr>
        <w:t xml:space="preserve">  —  Overlap Conflict</w:t>
      </w:r>
    </w:p>
    <w:p>
      <w:pPr>
        <w:spacing w:after="120"/>
      </w:pPr>
      <w:r>
        <w:rPr>
          <w:sz w:val="21"/>
          <w:szCs w:val="21"/>
        </w:rPr>
        <w:t xml:space="preserve">Konfliktzustand, in dem zwei Buchungen dasselbe Asset zeitlich überschneiden; wird durch die Verfügbarkeitslogik ausgeschlossen bzw. eskaliert.</w:t>
      </w:r>
    </w:p>
    <w:p>
      <w:pPr>
        <w:pStyle w:val="Heading2"/>
      </w:pPr>
      <w:r>
        <w:t xml:space="preserve">RM · Miet- &amp; Vertragsmodelle</w:t>
      </w:r>
    </w:p>
    <w:p>
      <w:pPr>
        <w:spacing w:after="40" w:before="160"/>
      </w:pPr>
      <w:r>
        <w:rPr>
          <w:b/>
          <w:bCs/>
          <w:color w:val="1A3E75"/>
          <w:sz w:val="22"/>
          <w:szCs w:val="22"/>
        </w:rPr>
        <w:t xml:space="preserve">RM-001  </w:t>
      </w:r>
      <w:r>
        <w:rPr>
          <w:b/>
          <w:bCs/>
          <w:sz w:val="22"/>
          <w:szCs w:val="22"/>
        </w:rPr>
        <w:t xml:space="preserve">LeasNet Direct</w:t>
      </w:r>
      <w:r>
        <w:rPr>
          <w:i/>
          <w:iCs/>
          <w:color w:val="666666"/>
          <w:sz w:val="20"/>
          <w:szCs w:val="20"/>
        </w:rPr>
        <w:t xml:space="preserve">  —  Direct Rental</w:t>
      </w:r>
    </w:p>
    <w:p>
      <w:pPr>
        <w:spacing w:after="120"/>
      </w:pPr>
      <w:r>
        <w:rPr>
          <w:sz w:val="21"/>
          <w:szCs w:val="21"/>
        </w:rPr>
        <w:t xml:space="preserve">Rentmodell, in dem die LeasNet GmbH Eigentümerin des Assets ist, mit dem Kunden den Mietvertrag schließt, Zahlungen entgegennimmt, die Kaution hält und Schadensfälle allein entscheidet.</w:t>
      </w:r>
    </w:p>
    <w:p>
      <w:pPr>
        <w:spacing w:after="40" w:before="160"/>
      </w:pPr>
      <w:r>
        <w:rPr>
          <w:b/>
          <w:bCs/>
          <w:color w:val="1A3E75"/>
          <w:sz w:val="22"/>
          <w:szCs w:val="22"/>
        </w:rPr>
        <w:t xml:space="preserve">RM-002  </w:t>
      </w:r>
      <w:r>
        <w:rPr>
          <w:b/>
          <w:bCs/>
          <w:sz w:val="22"/>
          <w:szCs w:val="22"/>
        </w:rPr>
        <w:t xml:space="preserve">Marketplace-Miete</w:t>
      </w:r>
      <w:r>
        <w:rPr>
          <w:i/>
          <w:iCs/>
          <w:color w:val="666666"/>
          <w:sz w:val="20"/>
          <w:szCs w:val="20"/>
        </w:rPr>
        <w:t xml:space="preserve">  —  Marketplace Rental</w:t>
      </w:r>
    </w:p>
    <w:p>
      <w:pPr>
        <w:spacing w:after="120"/>
      </w:pPr>
      <w:r>
        <w:rPr>
          <w:sz w:val="21"/>
          <w:szCs w:val="21"/>
        </w:rPr>
        <w:t xml:space="preserve">Rentmodell, in dem ein Vendor Eigentümer des Assets ist und mit dem Kunden den Mietvertrag schließt. Die LeasNet GmbH tritt ausschließlich als Vermittlerin, Zahlungs- und Kautionsverwalterin sowie Streitbeilegungsstelle auf.</w:t>
      </w:r>
    </w:p>
    <w:p>
      <w:pPr>
        <w:spacing w:after="40" w:before="160"/>
      </w:pPr>
      <w:r>
        <w:rPr>
          <w:b/>
          <w:bCs/>
          <w:color w:val="1A3E75"/>
          <w:sz w:val="22"/>
          <w:szCs w:val="22"/>
        </w:rPr>
        <w:t xml:space="preserve">RM-003  </w:t>
      </w:r>
      <w:r>
        <w:rPr>
          <w:b/>
          <w:bCs/>
          <w:sz w:val="22"/>
          <w:szCs w:val="22"/>
        </w:rPr>
        <w:t xml:space="preserve">Vertragsmodell-Kennzeichnung</w:t>
      </w:r>
      <w:r>
        <w:rPr>
          <w:i/>
          <w:iCs/>
          <w:color w:val="666666"/>
          <w:sz w:val="20"/>
          <w:szCs w:val="20"/>
        </w:rPr>
        <w:t xml:space="preserve">  —  Contract Model Indicator</w:t>
      </w:r>
    </w:p>
    <w:p>
      <w:pPr>
        <w:spacing w:after="120"/>
      </w:pPr>
      <w:r>
        <w:rPr>
          <w:sz w:val="21"/>
          <w:szCs w:val="21"/>
        </w:rPr>
        <w:t xml:space="preserve">Verpflichtende, gut sichtbare Kennzeichnung im Warenkorb, in der Bestellbestätigung, im Vertrag und in der Rechnung, aus der zweifelsfrei hervorgeht, ob eine Direkt-Miete oder eine Marketplace-Miete vorliegt.</w:t>
      </w:r>
    </w:p>
    <w:p>
      <w:pPr>
        <w:spacing w:after="40" w:before="160"/>
      </w:pPr>
      <w:r>
        <w:rPr>
          <w:b/>
          <w:bCs/>
          <w:color w:val="1A3E75"/>
          <w:sz w:val="22"/>
          <w:szCs w:val="22"/>
        </w:rPr>
        <w:t xml:space="preserve">RM-004  </w:t>
      </w:r>
      <w:r>
        <w:rPr>
          <w:b/>
          <w:bCs/>
          <w:sz w:val="22"/>
          <w:szCs w:val="22"/>
        </w:rPr>
        <w:t xml:space="preserve">Kombi-Warenkorb</w:t>
      </w:r>
      <w:r>
        <w:rPr>
          <w:i/>
          <w:iCs/>
          <w:color w:val="666666"/>
          <w:sz w:val="20"/>
          <w:szCs w:val="20"/>
        </w:rPr>
        <w:t xml:space="preserve">  —  Mixed Cart</w:t>
      </w:r>
    </w:p>
    <w:p>
      <w:pPr>
        <w:spacing w:after="120"/>
      </w:pPr>
      <w:r>
        <w:rPr>
          <w:sz w:val="21"/>
          <w:szCs w:val="21"/>
        </w:rPr>
        <w:t xml:space="preserve">Warenkorbzustand, in dem Positionen aus Direct-Rental und Marketplace-Rental parallel bestehen. Ein Kombi-Warenkorb wird zwingend in getrennte Vorgänge und getrennte Verträge aufgespalten.</w:t>
      </w:r>
    </w:p>
    <w:p>
      <w:pPr>
        <w:spacing w:after="40" w:before="160"/>
      </w:pPr>
      <w:r>
        <w:rPr>
          <w:b/>
          <w:bCs/>
          <w:color w:val="1A3E75"/>
          <w:sz w:val="22"/>
          <w:szCs w:val="22"/>
        </w:rPr>
        <w:t xml:space="preserve">RM-005  </w:t>
      </w:r>
      <w:r>
        <w:rPr>
          <w:b/>
          <w:bCs/>
          <w:sz w:val="22"/>
          <w:szCs w:val="22"/>
        </w:rPr>
        <w:t xml:space="preserve">Rahmenvertrag</w:t>
      </w:r>
      <w:r>
        <w:rPr>
          <w:i/>
          <w:iCs/>
          <w:color w:val="666666"/>
          <w:sz w:val="20"/>
          <w:szCs w:val="20"/>
        </w:rPr>
        <w:t xml:space="preserve">  —  Framework Agreement</w:t>
      </w:r>
    </w:p>
    <w:p>
      <w:pPr>
        <w:spacing w:after="120"/>
      </w:pPr>
      <w:r>
        <w:rPr>
          <w:sz w:val="21"/>
          <w:szCs w:val="21"/>
        </w:rPr>
        <w:t xml:space="preserve">Vertragswerk zwischen der LeasNet GmbH bzw. einem Vendor und einer Business-Organisation, das die allgemeinen Bedingungen wiederkehrender Einzelmieten regelt.</w:t>
      </w:r>
    </w:p>
    <w:p>
      <w:pPr>
        <w:spacing w:after="40" w:before="160"/>
      </w:pPr>
      <w:r>
        <w:rPr>
          <w:b/>
          <w:bCs/>
          <w:color w:val="1A3E75"/>
          <w:sz w:val="22"/>
          <w:szCs w:val="22"/>
        </w:rPr>
        <w:t xml:space="preserve">RM-006  </w:t>
      </w:r>
      <w:r>
        <w:rPr>
          <w:b/>
          <w:bCs/>
          <w:sz w:val="22"/>
          <w:szCs w:val="22"/>
        </w:rPr>
        <w:t xml:space="preserve">Einzelmiete</w:t>
      </w:r>
      <w:r>
        <w:rPr>
          <w:i/>
          <w:iCs/>
          <w:color w:val="666666"/>
          <w:sz w:val="20"/>
          <w:szCs w:val="20"/>
        </w:rPr>
        <w:t xml:space="preserve">  —  Single Rental</w:t>
      </w:r>
    </w:p>
    <w:p>
      <w:pPr>
        <w:spacing w:after="120"/>
      </w:pPr>
      <w:r>
        <w:rPr>
          <w:sz w:val="21"/>
          <w:szCs w:val="21"/>
        </w:rPr>
        <w:t xml:space="preserve">Konkrete Miete eines bestimmten Assets oder Produkts für einen definierten Zeitraum, gegebenenfalls auf Basis eines Rahmenvertrages.</w:t>
      </w:r>
    </w:p>
    <w:p>
      <w:pPr>
        <w:spacing w:after="40" w:before="160"/>
      </w:pPr>
      <w:r>
        <w:rPr>
          <w:b/>
          <w:bCs/>
          <w:color w:val="1A3E75"/>
          <w:sz w:val="22"/>
          <w:szCs w:val="22"/>
        </w:rPr>
        <w:t xml:space="preserve">RM-007  </w:t>
      </w:r>
      <w:r>
        <w:rPr>
          <w:b/>
          <w:bCs/>
          <w:sz w:val="22"/>
          <w:szCs w:val="22"/>
        </w:rPr>
        <w:t xml:space="preserve">Abonnement-Miete</w:t>
      </w:r>
      <w:r>
        <w:rPr>
          <w:i/>
          <w:iCs/>
          <w:color w:val="666666"/>
          <w:sz w:val="20"/>
          <w:szCs w:val="20"/>
        </w:rPr>
        <w:t xml:space="preserve">  —  Subscription Rental</w:t>
      </w:r>
    </w:p>
    <w:p>
      <w:pPr>
        <w:spacing w:after="120"/>
      </w:pPr>
      <w:r>
        <w:rPr>
          <w:sz w:val="21"/>
          <w:szCs w:val="21"/>
        </w:rPr>
        <w:t xml:space="preserve">Miete mit automatischer Verlängerung um definierte Perioden bis zu einer Kündigung durch den Kunden oder den Vermieter.</w:t>
      </w:r>
    </w:p>
    <w:p>
      <w:pPr>
        <w:spacing w:after="40" w:before="160"/>
      </w:pPr>
      <w:r>
        <w:rPr>
          <w:b/>
          <w:bCs/>
          <w:color w:val="1A3E75"/>
          <w:sz w:val="22"/>
          <w:szCs w:val="22"/>
        </w:rPr>
        <w:t xml:space="preserve">RM-008  </w:t>
      </w:r>
      <w:r>
        <w:rPr>
          <w:b/>
          <w:bCs/>
          <w:sz w:val="22"/>
          <w:szCs w:val="22"/>
        </w:rPr>
        <w:t xml:space="preserve">Kurzmiete</w:t>
      </w:r>
      <w:r>
        <w:rPr>
          <w:i/>
          <w:iCs/>
          <w:color w:val="666666"/>
          <w:sz w:val="20"/>
          <w:szCs w:val="20"/>
        </w:rPr>
        <w:t xml:space="preserve">  —  Short-Term Rental</w:t>
      </w:r>
    </w:p>
    <w:p>
      <w:pPr>
        <w:spacing w:after="120"/>
      </w:pPr>
      <w:r>
        <w:rPr>
          <w:sz w:val="21"/>
          <w:szCs w:val="21"/>
        </w:rPr>
        <w:t xml:space="preserve">Miete mit einer Laufzeit von bis zu 30 aufeinanderfolgenden Kalendertagen.</w:t>
      </w:r>
    </w:p>
    <w:p>
      <w:pPr>
        <w:spacing w:after="40" w:before="160"/>
      </w:pPr>
      <w:r>
        <w:rPr>
          <w:b/>
          <w:bCs/>
          <w:color w:val="1A3E75"/>
          <w:sz w:val="22"/>
          <w:szCs w:val="22"/>
        </w:rPr>
        <w:t xml:space="preserve">RM-009  </w:t>
      </w:r>
      <w:r>
        <w:rPr>
          <w:b/>
          <w:bCs/>
          <w:sz w:val="22"/>
          <w:szCs w:val="22"/>
        </w:rPr>
        <w:t xml:space="preserve">Langzeitmiete</w:t>
      </w:r>
      <w:r>
        <w:rPr>
          <w:i/>
          <w:iCs/>
          <w:color w:val="666666"/>
          <w:sz w:val="20"/>
          <w:szCs w:val="20"/>
        </w:rPr>
        <w:t xml:space="preserve">  —  Long-Term Rental</w:t>
      </w:r>
    </w:p>
    <w:p>
      <w:pPr>
        <w:spacing w:after="120"/>
      </w:pPr>
      <w:r>
        <w:rPr>
          <w:sz w:val="21"/>
          <w:szCs w:val="21"/>
        </w:rPr>
        <w:t xml:space="preserve">Miete mit einer Laufzeit von mehr als 30 aufeinanderfolgenden Kalendertagen; unterliegt gesonderten Bedingungen zu Zwischenprüfungen und Kündigung.</w:t>
      </w:r>
    </w:p>
    <w:p>
      <w:pPr>
        <w:spacing w:after="40" w:before="160"/>
      </w:pPr>
      <w:r>
        <w:rPr>
          <w:b/>
          <w:bCs/>
          <w:color w:val="1A3E75"/>
          <w:sz w:val="22"/>
          <w:szCs w:val="22"/>
        </w:rPr>
        <w:t xml:space="preserve">RM-010  </w:t>
      </w:r>
      <w:r>
        <w:rPr>
          <w:b/>
          <w:bCs/>
          <w:sz w:val="22"/>
          <w:szCs w:val="22"/>
        </w:rPr>
        <w:t xml:space="preserve">Verlängerung</w:t>
      </w:r>
      <w:r>
        <w:rPr>
          <w:i/>
          <w:iCs/>
          <w:color w:val="666666"/>
          <w:sz w:val="20"/>
          <w:szCs w:val="20"/>
        </w:rPr>
        <w:t xml:space="preserve">  —  Extension</w:t>
      </w:r>
    </w:p>
    <w:p>
      <w:pPr>
        <w:spacing w:after="120"/>
      </w:pPr>
      <w:r>
        <w:rPr>
          <w:sz w:val="21"/>
          <w:szCs w:val="21"/>
        </w:rPr>
        <w:t xml:space="preserve">Nachträgliche einvernehmliche Verlängerung eines bestehenden Mietvertrages; erfordert Bestätigung durch den Vermieter.</w:t>
      </w:r>
    </w:p>
    <w:p>
      <w:pPr>
        <w:pStyle w:val="Heading2"/>
      </w:pPr>
      <w:r>
        <w:t xml:space="preserve">PY · Zahlung, Abrechnung &amp; Steuer</w:t>
      </w:r>
    </w:p>
    <w:p>
      <w:pPr>
        <w:spacing w:after="40" w:before="160"/>
      </w:pPr>
      <w:r>
        <w:rPr>
          <w:b/>
          <w:bCs/>
          <w:color w:val="1A3E75"/>
          <w:sz w:val="22"/>
          <w:szCs w:val="22"/>
        </w:rPr>
        <w:t xml:space="preserve">PY-001  </w:t>
      </w:r>
      <w:r>
        <w:rPr>
          <w:b/>
          <w:bCs/>
          <w:sz w:val="22"/>
          <w:szCs w:val="22"/>
        </w:rPr>
        <w:t xml:space="preserve">Mietpreis</w:t>
      </w:r>
      <w:r>
        <w:rPr>
          <w:i/>
          <w:iCs/>
          <w:color w:val="666666"/>
          <w:sz w:val="20"/>
          <w:szCs w:val="20"/>
        </w:rPr>
        <w:t xml:space="preserve">  —  Rental Fee</w:t>
      </w:r>
    </w:p>
    <w:p>
      <w:pPr>
        <w:spacing w:after="120"/>
      </w:pPr>
      <w:r>
        <w:rPr>
          <w:sz w:val="21"/>
          <w:szCs w:val="21"/>
        </w:rPr>
        <w:t xml:space="preserve">Vergütung für die Nutzung des Assets im vereinbarten Mietzeitraum, ausgewiesen als Tages-, Wochen- oder Monatspreis oder als Pauschale.</w:t>
      </w:r>
    </w:p>
    <w:p>
      <w:pPr>
        <w:spacing w:after="40" w:before="160"/>
      </w:pPr>
      <w:r>
        <w:rPr>
          <w:b/>
          <w:bCs/>
          <w:color w:val="1A3E75"/>
          <w:sz w:val="22"/>
          <w:szCs w:val="22"/>
        </w:rPr>
        <w:t xml:space="preserve">PY-002  </w:t>
      </w:r>
      <w:r>
        <w:rPr>
          <w:b/>
          <w:bCs/>
          <w:sz w:val="22"/>
          <w:szCs w:val="22"/>
        </w:rPr>
        <w:t xml:space="preserve">Nebenkosten</w:t>
      </w:r>
      <w:r>
        <w:rPr>
          <w:i/>
          <w:iCs/>
          <w:color w:val="666666"/>
          <w:sz w:val="20"/>
          <w:szCs w:val="20"/>
        </w:rPr>
        <w:t xml:space="preserve">  —  Ancillary Fees</w:t>
      </w:r>
    </w:p>
    <w:p>
      <w:pPr>
        <w:spacing w:after="120"/>
      </w:pPr>
      <w:r>
        <w:rPr>
          <w:sz w:val="21"/>
          <w:szCs w:val="21"/>
        </w:rPr>
        <w:t xml:space="preserve">Zusätzliche vertraglich vereinbarte Entgelte, insbesondere für Versand, Rückversand, Verpackung, Reinigung, Sonderleistungen.</w:t>
      </w:r>
    </w:p>
    <w:p>
      <w:pPr>
        <w:spacing w:after="40" w:before="160"/>
      </w:pPr>
      <w:r>
        <w:rPr>
          <w:b/>
          <w:bCs/>
          <w:color w:val="1A3E75"/>
          <w:sz w:val="22"/>
          <w:szCs w:val="22"/>
        </w:rPr>
        <w:t xml:space="preserve">PY-003  </w:t>
      </w:r>
      <w:r>
        <w:rPr>
          <w:b/>
          <w:bCs/>
          <w:sz w:val="22"/>
          <w:szCs w:val="22"/>
        </w:rPr>
        <w:t xml:space="preserve">Servicepauschale</w:t>
      </w:r>
      <w:r>
        <w:rPr>
          <w:i/>
          <w:iCs/>
          <w:color w:val="666666"/>
          <w:sz w:val="20"/>
          <w:szCs w:val="20"/>
        </w:rPr>
        <w:t xml:space="preserve">  —  Service Fee</w:t>
      </w:r>
    </w:p>
    <w:p>
      <w:pPr>
        <w:spacing w:after="120"/>
      </w:pPr>
      <w:r>
        <w:rPr>
          <w:sz w:val="21"/>
          <w:szCs w:val="21"/>
        </w:rPr>
        <w:t xml:space="preserve">Vom Kunden zu tragende Pauschale für die Bereitstellung der Plattform-, Zahlungs- und Support-Infrastruktur, sofern im Warenkorb gesondert ausgewiesen.</w:t>
      </w:r>
    </w:p>
    <w:p>
      <w:pPr>
        <w:spacing w:after="40" w:before="160"/>
      </w:pPr>
      <w:r>
        <w:rPr>
          <w:b/>
          <w:bCs/>
          <w:color w:val="1A3E75"/>
          <w:sz w:val="22"/>
          <w:szCs w:val="22"/>
        </w:rPr>
        <w:t xml:space="preserve">PY-004  </w:t>
      </w:r>
      <w:r>
        <w:rPr>
          <w:b/>
          <w:bCs/>
          <w:sz w:val="22"/>
          <w:szCs w:val="22"/>
        </w:rPr>
        <w:t xml:space="preserve">Gesamtbetrag</w:t>
      </w:r>
      <w:r>
        <w:rPr>
          <w:i/>
          <w:iCs/>
          <w:color w:val="666666"/>
          <w:sz w:val="20"/>
          <w:szCs w:val="20"/>
        </w:rPr>
        <w:t xml:space="preserve">  —  Order Total</w:t>
      </w:r>
    </w:p>
    <w:p>
      <w:pPr>
        <w:spacing w:after="120"/>
      </w:pPr>
      <w:r>
        <w:rPr>
          <w:sz w:val="21"/>
          <w:szCs w:val="21"/>
        </w:rPr>
        <w:t xml:space="preserve">Summe aus Mietpreis, Nebenkosten, Servicepauschale, gesondert ausgewiesenen Steuern und ggf. Kaution zum Zeitpunkt des Vertragsschlusses.</w:t>
      </w:r>
    </w:p>
    <w:p>
      <w:pPr>
        <w:spacing w:after="40" w:before="160"/>
      </w:pPr>
      <w:r>
        <w:rPr>
          <w:b/>
          <w:bCs/>
          <w:color w:val="1A3E75"/>
          <w:sz w:val="22"/>
          <w:szCs w:val="22"/>
        </w:rPr>
        <w:t xml:space="preserve">PY-005  </w:t>
      </w:r>
      <w:r>
        <w:rPr>
          <w:b/>
          <w:bCs/>
          <w:sz w:val="22"/>
          <w:szCs w:val="22"/>
        </w:rPr>
        <w:t xml:space="preserve">Zahlungsmittel</w:t>
      </w:r>
      <w:r>
        <w:rPr>
          <w:i/>
          <w:iCs/>
          <w:color w:val="666666"/>
          <w:sz w:val="20"/>
          <w:szCs w:val="20"/>
        </w:rPr>
        <w:t xml:space="preserve">  —  Payment Method</w:t>
      </w:r>
    </w:p>
    <w:p>
      <w:pPr>
        <w:spacing w:after="120"/>
      </w:pPr>
      <w:r>
        <w:rPr>
          <w:sz w:val="21"/>
          <w:szCs w:val="21"/>
        </w:rPr>
        <w:t xml:space="preserve">Vom Zahlungsdienstleister unterstütztes Mittel zur Erfüllung der Zahlungsverpflichtung (z. B. SEPA-Lastschrift, Kartenzahlung, Sofortüberweisung, Wallet).</w:t>
      </w:r>
    </w:p>
    <w:p>
      <w:pPr>
        <w:spacing w:after="40" w:before="160"/>
      </w:pPr>
      <w:r>
        <w:rPr>
          <w:b/>
          <w:bCs/>
          <w:color w:val="1A3E75"/>
          <w:sz w:val="22"/>
          <w:szCs w:val="22"/>
        </w:rPr>
        <w:t xml:space="preserve">PY-006  </w:t>
      </w:r>
      <w:r>
        <w:rPr>
          <w:b/>
          <w:bCs/>
          <w:sz w:val="22"/>
          <w:szCs w:val="22"/>
        </w:rPr>
        <w:t xml:space="preserve">Zahlungsvorautorisierung</w:t>
      </w:r>
      <w:r>
        <w:rPr>
          <w:i/>
          <w:iCs/>
          <w:color w:val="666666"/>
          <w:sz w:val="20"/>
          <w:szCs w:val="20"/>
        </w:rPr>
        <w:t xml:space="preserve">  —  Pre-Authorization</w:t>
      </w:r>
    </w:p>
    <w:p>
      <w:pPr>
        <w:spacing w:after="120"/>
      </w:pPr>
      <w:r>
        <w:rPr>
          <w:sz w:val="21"/>
          <w:szCs w:val="21"/>
        </w:rPr>
        <w:t xml:space="preserve">Vom Zahlungsdienstleister durchgeführte Reservierung eines Betrags auf einem Zahlungsmittel, ohne dass es zu einem sofortigen Zahlungsfluss kommt.</w:t>
      </w:r>
    </w:p>
    <w:p>
      <w:pPr>
        <w:spacing w:after="40" w:before="160"/>
      </w:pPr>
      <w:r>
        <w:rPr>
          <w:b/>
          <w:bCs/>
          <w:color w:val="1A3E75"/>
          <w:sz w:val="22"/>
          <w:szCs w:val="22"/>
        </w:rPr>
        <w:t xml:space="preserve">PY-007  </w:t>
      </w:r>
      <w:r>
        <w:rPr>
          <w:b/>
          <w:bCs/>
          <w:sz w:val="22"/>
          <w:szCs w:val="22"/>
        </w:rPr>
        <w:t xml:space="preserve">Zahlungseinzug</w:t>
      </w:r>
      <w:r>
        <w:rPr>
          <w:i/>
          <w:iCs/>
          <w:color w:val="666666"/>
          <w:sz w:val="20"/>
          <w:szCs w:val="20"/>
        </w:rPr>
        <w:t xml:space="preserve">  —  Capture</w:t>
      </w:r>
    </w:p>
    <w:p>
      <w:pPr>
        <w:spacing w:after="120"/>
      </w:pPr>
      <w:r>
        <w:rPr>
          <w:sz w:val="21"/>
          <w:szCs w:val="21"/>
        </w:rPr>
        <w:t xml:space="preserve">Endgültiges Abbuchen eines vorautorisierten Betrags.</w:t>
      </w:r>
    </w:p>
    <w:p>
      <w:pPr>
        <w:spacing w:after="40" w:before="160"/>
      </w:pPr>
      <w:r>
        <w:rPr>
          <w:b/>
          <w:bCs/>
          <w:color w:val="1A3E75"/>
          <w:sz w:val="22"/>
          <w:szCs w:val="22"/>
        </w:rPr>
        <w:t xml:space="preserve">PY-008  </w:t>
      </w:r>
      <w:r>
        <w:rPr>
          <w:b/>
          <w:bCs/>
          <w:sz w:val="22"/>
          <w:szCs w:val="22"/>
        </w:rPr>
        <w:t xml:space="preserve">Zahlungsfreigabe</w:t>
      </w:r>
      <w:r>
        <w:rPr>
          <w:i/>
          <w:iCs/>
          <w:color w:val="666666"/>
          <w:sz w:val="20"/>
          <w:szCs w:val="20"/>
        </w:rPr>
        <w:t xml:space="preserve">  —  Void</w:t>
      </w:r>
    </w:p>
    <w:p>
      <w:pPr>
        <w:spacing w:after="120"/>
      </w:pPr>
      <w:r>
        <w:rPr>
          <w:sz w:val="21"/>
          <w:szCs w:val="21"/>
        </w:rPr>
        <w:t xml:space="preserve">Freigabe eines vorautorisierten Betrags ohne Abbuchung.</w:t>
      </w:r>
    </w:p>
    <w:p>
      <w:pPr>
        <w:spacing w:after="40" w:before="160"/>
      </w:pPr>
      <w:r>
        <w:rPr>
          <w:b/>
          <w:bCs/>
          <w:color w:val="1A3E75"/>
          <w:sz w:val="22"/>
          <w:szCs w:val="22"/>
        </w:rPr>
        <w:t xml:space="preserve">PY-009  </w:t>
      </w:r>
      <w:r>
        <w:rPr>
          <w:b/>
          <w:bCs/>
          <w:sz w:val="22"/>
          <w:szCs w:val="22"/>
        </w:rPr>
        <w:t xml:space="preserve">Rückerstattung</w:t>
      </w:r>
      <w:r>
        <w:rPr>
          <w:i/>
          <w:iCs/>
          <w:color w:val="666666"/>
          <w:sz w:val="20"/>
          <w:szCs w:val="20"/>
        </w:rPr>
        <w:t xml:space="preserve">  —  Refund</w:t>
      </w:r>
    </w:p>
    <w:p>
      <w:pPr>
        <w:spacing w:after="120"/>
      </w:pPr>
      <w:r>
        <w:rPr>
          <w:sz w:val="21"/>
          <w:szCs w:val="21"/>
        </w:rPr>
        <w:t xml:space="preserve">Rückzahlung eines bereits eingezogenen Betrags an den Zahler.</w:t>
      </w:r>
    </w:p>
    <w:p>
      <w:pPr>
        <w:spacing w:after="40" w:before="160"/>
      </w:pPr>
      <w:r>
        <w:rPr>
          <w:b/>
          <w:bCs/>
          <w:color w:val="1A3E75"/>
          <w:sz w:val="22"/>
          <w:szCs w:val="22"/>
        </w:rPr>
        <w:t xml:space="preserve">PY-010  </w:t>
      </w:r>
      <w:r>
        <w:rPr>
          <w:b/>
          <w:bCs/>
          <w:sz w:val="22"/>
          <w:szCs w:val="22"/>
        </w:rPr>
        <w:t xml:space="preserve">Teilerstattung</w:t>
      </w:r>
      <w:r>
        <w:rPr>
          <w:i/>
          <w:iCs/>
          <w:color w:val="666666"/>
          <w:sz w:val="20"/>
          <w:szCs w:val="20"/>
        </w:rPr>
        <w:t xml:space="preserve">  —  Partial Refund</w:t>
      </w:r>
    </w:p>
    <w:p>
      <w:pPr>
        <w:spacing w:after="120"/>
      </w:pPr>
      <w:r>
        <w:rPr>
          <w:sz w:val="21"/>
          <w:szCs w:val="21"/>
        </w:rPr>
        <w:t xml:space="preserve">Rückzahlung eines Teilbetrags, insbesondere bei anteiliger Leistungserbringung, Preisminderung oder anteiliger Stornierung.</w:t>
      </w:r>
    </w:p>
    <w:p>
      <w:pPr>
        <w:spacing w:after="40" w:before="160"/>
      </w:pPr>
      <w:r>
        <w:rPr>
          <w:b/>
          <w:bCs/>
          <w:color w:val="1A3E75"/>
          <w:sz w:val="22"/>
          <w:szCs w:val="22"/>
        </w:rPr>
        <w:t xml:space="preserve">PY-011  </w:t>
      </w:r>
      <w:r>
        <w:rPr>
          <w:b/>
          <w:bCs/>
          <w:sz w:val="22"/>
          <w:szCs w:val="22"/>
        </w:rPr>
        <w:t xml:space="preserve">Chargeback</w:t>
      </w:r>
      <w:r>
        <w:rPr>
          <w:i/>
          <w:iCs/>
          <w:color w:val="666666"/>
          <w:sz w:val="20"/>
          <w:szCs w:val="20"/>
        </w:rPr>
        <w:t xml:space="preserve">  —  Chargeback</w:t>
      </w:r>
    </w:p>
    <w:p>
      <w:pPr>
        <w:spacing w:after="120"/>
      </w:pPr>
      <w:r>
        <w:rPr>
          <w:sz w:val="21"/>
          <w:szCs w:val="21"/>
        </w:rPr>
        <w:t xml:space="preserve">Vom Zahlungsdienstleister rückabgewickelte Kartenzahlung nach Widerspruch des Karteninhabers; wird als Sonderfall im Streit- und Risikoprozess behandelt.</w:t>
      </w:r>
    </w:p>
    <w:p>
      <w:pPr>
        <w:spacing w:after="40" w:before="160"/>
      </w:pPr>
      <w:r>
        <w:rPr>
          <w:b/>
          <w:bCs/>
          <w:color w:val="1A3E75"/>
          <w:sz w:val="22"/>
          <w:szCs w:val="22"/>
        </w:rPr>
        <w:t xml:space="preserve">PY-012  </w:t>
      </w:r>
      <w:r>
        <w:rPr>
          <w:b/>
          <w:bCs/>
          <w:sz w:val="22"/>
          <w:szCs w:val="22"/>
        </w:rPr>
        <w:t xml:space="preserve">SEPA-Rückbuchung</w:t>
      </w:r>
      <w:r>
        <w:rPr>
          <w:i/>
          <w:iCs/>
          <w:color w:val="666666"/>
          <w:sz w:val="20"/>
          <w:szCs w:val="20"/>
        </w:rPr>
        <w:t xml:space="preserve">  —  SEPA Return</w:t>
      </w:r>
    </w:p>
    <w:p>
      <w:pPr>
        <w:spacing w:after="120"/>
      </w:pPr>
      <w:r>
        <w:rPr>
          <w:sz w:val="21"/>
          <w:szCs w:val="21"/>
        </w:rPr>
        <w:t xml:space="preserve">Rückabwicklung einer SEPA-Lastschrift innerhalb der gesetzlichen Widerspruchsfristen; löst Nachforderungs- und Sperrprozesse aus.</w:t>
      </w:r>
    </w:p>
    <w:p>
      <w:pPr>
        <w:spacing w:after="40" w:before="160"/>
      </w:pPr>
      <w:r>
        <w:rPr>
          <w:b/>
          <w:bCs/>
          <w:color w:val="1A3E75"/>
          <w:sz w:val="22"/>
          <w:szCs w:val="22"/>
        </w:rPr>
        <w:t xml:space="preserve">PY-013  </w:t>
      </w:r>
      <w:r>
        <w:rPr>
          <w:b/>
          <w:bCs/>
          <w:sz w:val="22"/>
          <w:szCs w:val="22"/>
        </w:rPr>
        <w:t xml:space="preserve">Zahlungsverzug</w:t>
      </w:r>
      <w:r>
        <w:rPr>
          <w:i/>
          <w:iCs/>
          <w:color w:val="666666"/>
          <w:sz w:val="20"/>
          <w:szCs w:val="20"/>
        </w:rPr>
        <w:t xml:space="preserve">  —  Payment Default</w:t>
      </w:r>
    </w:p>
    <w:p>
      <w:pPr>
        <w:spacing w:after="120"/>
      </w:pPr>
      <w:r>
        <w:rPr>
          <w:sz w:val="21"/>
          <w:szCs w:val="21"/>
        </w:rPr>
        <w:t xml:space="preserve">Ausbleibende Zahlung nach Fälligkeit und Ablauf einer Zahlungserinnerung; berechtigt zur Berechnung von Verzugszinsen und -pauschalen nach BGB/HGB.</w:t>
      </w:r>
    </w:p>
    <w:p>
      <w:pPr>
        <w:spacing w:after="40" w:before="160"/>
      </w:pPr>
      <w:r>
        <w:rPr>
          <w:b/>
          <w:bCs/>
          <w:color w:val="1A3E75"/>
          <w:sz w:val="22"/>
          <w:szCs w:val="22"/>
        </w:rPr>
        <w:t xml:space="preserve">PY-014  </w:t>
      </w:r>
      <w:r>
        <w:rPr>
          <w:b/>
          <w:bCs/>
          <w:sz w:val="22"/>
          <w:szCs w:val="22"/>
        </w:rPr>
        <w:t xml:space="preserve">Mahnung</w:t>
      </w:r>
      <w:r>
        <w:rPr>
          <w:i/>
          <w:iCs/>
          <w:color w:val="666666"/>
          <w:sz w:val="20"/>
          <w:szCs w:val="20"/>
        </w:rPr>
        <w:t xml:space="preserve">  —  Reminder</w:t>
      </w:r>
    </w:p>
    <w:p>
      <w:pPr>
        <w:spacing w:after="120"/>
      </w:pPr>
      <w:r>
        <w:rPr>
          <w:sz w:val="21"/>
          <w:szCs w:val="21"/>
        </w:rPr>
        <w:t xml:space="preserve">Formelle Aufforderung zur Zahlung eines fälligen Betrags mit Fristsetzung.</w:t>
      </w:r>
    </w:p>
    <w:p>
      <w:pPr>
        <w:spacing w:after="40" w:before="160"/>
      </w:pPr>
      <w:r>
        <w:rPr>
          <w:b/>
          <w:bCs/>
          <w:color w:val="1A3E75"/>
          <w:sz w:val="22"/>
          <w:szCs w:val="22"/>
        </w:rPr>
        <w:t xml:space="preserve">PY-015  </w:t>
      </w:r>
      <w:r>
        <w:rPr>
          <w:b/>
          <w:bCs/>
          <w:sz w:val="22"/>
          <w:szCs w:val="22"/>
        </w:rPr>
        <w:t xml:space="preserve">Verzugszinsen</w:t>
      </w:r>
      <w:r>
        <w:rPr>
          <w:i/>
          <w:iCs/>
          <w:color w:val="666666"/>
          <w:sz w:val="20"/>
          <w:szCs w:val="20"/>
        </w:rPr>
        <w:t xml:space="preserve">  —  Default Interest</w:t>
      </w:r>
    </w:p>
    <w:p>
      <w:pPr>
        <w:spacing w:after="120"/>
      </w:pPr>
      <w:r>
        <w:rPr>
          <w:sz w:val="21"/>
          <w:szCs w:val="21"/>
        </w:rPr>
        <w:t xml:space="preserve">Gesetzliche oder vertraglich vereinbarte Zinsen ab dem Zeitpunkt des Zahlungsverzugs.</w:t>
      </w:r>
    </w:p>
    <w:p>
      <w:pPr>
        <w:spacing w:after="40" w:before="160"/>
      </w:pPr>
      <w:r>
        <w:rPr>
          <w:b/>
          <w:bCs/>
          <w:color w:val="1A3E75"/>
          <w:sz w:val="22"/>
          <w:szCs w:val="22"/>
        </w:rPr>
        <w:t xml:space="preserve">PY-016  </w:t>
      </w:r>
      <w:r>
        <w:rPr>
          <w:b/>
          <w:bCs/>
          <w:sz w:val="22"/>
          <w:szCs w:val="22"/>
        </w:rPr>
        <w:t xml:space="preserve">Umsatzsteuer</w:t>
      </w:r>
      <w:r>
        <w:rPr>
          <w:i/>
          <w:iCs/>
          <w:color w:val="666666"/>
          <w:sz w:val="20"/>
          <w:szCs w:val="20"/>
        </w:rPr>
        <w:t xml:space="preserve">  —  Value-Added Tax (VAT)</w:t>
      </w:r>
    </w:p>
    <w:p>
      <w:pPr>
        <w:spacing w:after="120"/>
      </w:pPr>
      <w:r>
        <w:rPr>
          <w:sz w:val="21"/>
          <w:szCs w:val="21"/>
        </w:rPr>
        <w:t xml:space="preserve">Deutsche Umsatzsteuer nach dem UStG bzw. entsprechende Steuern anderer EU-Mitgliedstaaten; gesondert ausgewiesen.</w:t>
      </w:r>
    </w:p>
    <w:p>
      <w:pPr>
        <w:spacing w:after="40" w:before="160"/>
      </w:pPr>
      <w:r>
        <w:rPr>
          <w:b/>
          <w:bCs/>
          <w:color w:val="1A3E75"/>
          <w:sz w:val="22"/>
          <w:szCs w:val="22"/>
        </w:rPr>
        <w:t xml:space="preserve">PY-017  </w:t>
      </w:r>
      <w:r>
        <w:rPr>
          <w:b/>
          <w:bCs/>
          <w:sz w:val="22"/>
          <w:szCs w:val="22"/>
        </w:rPr>
        <w:t xml:space="preserve">Netto/Brutto-Kennzeichnung</w:t>
      </w:r>
      <w:r>
        <w:rPr>
          <w:i/>
          <w:iCs/>
          <w:color w:val="666666"/>
          <w:sz w:val="20"/>
          <w:szCs w:val="20"/>
        </w:rPr>
        <w:t xml:space="preserve">  —  Net/Gross Indicator</w:t>
      </w:r>
    </w:p>
    <w:p>
      <w:pPr>
        <w:spacing w:after="120"/>
      </w:pPr>
      <w:r>
        <w:rPr>
          <w:sz w:val="21"/>
          <w:szCs w:val="21"/>
        </w:rPr>
        <w:t xml:space="preserve">Kennzeichnung, ob Preise mit oder ohne Umsatzsteuer angezeigt werden. Standard im Verbraucherbereich: Brutto. Standard im B2B-Bereich: Netto.</w:t>
      </w:r>
    </w:p>
    <w:p>
      <w:pPr>
        <w:spacing w:after="40" w:before="160"/>
      </w:pPr>
      <w:r>
        <w:rPr>
          <w:b/>
          <w:bCs/>
          <w:color w:val="1A3E75"/>
          <w:sz w:val="22"/>
          <w:szCs w:val="22"/>
        </w:rPr>
        <w:t xml:space="preserve">PY-018  </w:t>
      </w:r>
      <w:r>
        <w:rPr>
          <w:b/>
          <w:bCs/>
          <w:sz w:val="22"/>
          <w:szCs w:val="22"/>
        </w:rPr>
        <w:t xml:space="preserve">Steuerbefreiung</w:t>
      </w:r>
      <w:r>
        <w:rPr>
          <w:i/>
          <w:iCs/>
          <w:color w:val="666666"/>
          <w:sz w:val="20"/>
          <w:szCs w:val="20"/>
        </w:rPr>
        <w:t xml:space="preserve">  —  Tax Exemption</w:t>
      </w:r>
    </w:p>
    <w:p>
      <w:pPr>
        <w:spacing w:after="120"/>
      </w:pPr>
      <w:r>
        <w:rPr>
          <w:sz w:val="21"/>
          <w:szCs w:val="21"/>
        </w:rPr>
        <w:t xml:space="preserve">Rechnungsstellung ohne Umsatzsteuer bei Vorliegen der Voraussetzungen (z. B. innergemeinschaftliche Leistung mit gültiger USt-IdNr.).</w:t>
      </w:r>
    </w:p>
    <w:p>
      <w:pPr>
        <w:spacing w:after="40" w:before="160"/>
      </w:pPr>
      <w:r>
        <w:rPr>
          <w:b/>
          <w:bCs/>
          <w:color w:val="1A3E75"/>
          <w:sz w:val="22"/>
          <w:szCs w:val="22"/>
        </w:rPr>
        <w:t xml:space="preserve">PY-019  </w:t>
      </w:r>
      <w:r>
        <w:rPr>
          <w:b/>
          <w:bCs/>
          <w:sz w:val="22"/>
          <w:szCs w:val="22"/>
        </w:rPr>
        <w:t xml:space="preserve">USt-IdNr.</w:t>
      </w:r>
      <w:r>
        <w:rPr>
          <w:i/>
          <w:iCs/>
          <w:color w:val="666666"/>
          <w:sz w:val="20"/>
          <w:szCs w:val="20"/>
        </w:rPr>
        <w:t xml:space="preserve">  —  VAT ID</w:t>
      </w:r>
    </w:p>
    <w:p>
      <w:pPr>
        <w:spacing w:after="120"/>
      </w:pPr>
      <w:r>
        <w:rPr>
          <w:sz w:val="21"/>
          <w:szCs w:val="21"/>
        </w:rPr>
        <w:t xml:space="preserve">Umsatzsteuer-Identifikationsnummer eines Unternehmens im Sinne des § 27a UStG bzw. der entsprechenden EU-Norm.</w:t>
      </w:r>
    </w:p>
    <w:p>
      <w:pPr>
        <w:spacing w:after="40" w:before="160"/>
      </w:pPr>
      <w:r>
        <w:rPr>
          <w:b/>
          <w:bCs/>
          <w:color w:val="1A3E75"/>
          <w:sz w:val="22"/>
          <w:szCs w:val="22"/>
        </w:rPr>
        <w:t xml:space="preserve">PY-020  </w:t>
      </w:r>
      <w:r>
        <w:rPr>
          <w:b/>
          <w:bCs/>
          <w:sz w:val="22"/>
          <w:szCs w:val="22"/>
        </w:rPr>
        <w:t xml:space="preserve">Kommission</w:t>
      </w:r>
      <w:r>
        <w:rPr>
          <w:i/>
          <w:iCs/>
          <w:color w:val="666666"/>
          <w:sz w:val="20"/>
          <w:szCs w:val="20"/>
        </w:rPr>
        <w:t xml:space="preserve">  —  Commission</w:t>
      </w:r>
    </w:p>
    <w:p>
      <w:pPr>
        <w:spacing w:after="120"/>
      </w:pPr>
      <w:r>
        <w:rPr>
          <w:sz w:val="21"/>
          <w:szCs w:val="21"/>
        </w:rPr>
        <w:t xml:space="preserve">Vergütung der Plattform durch den Vendor für die Vermittlung, Zahlungsabwicklung und Kautionsverwaltung im Marketplace, ausgedrückt als Prozentsatz des relevanten Betrages.</w:t>
      </w:r>
    </w:p>
    <w:p>
      <w:pPr>
        <w:spacing w:after="40" w:before="160"/>
      </w:pPr>
      <w:r>
        <w:rPr>
          <w:b/>
          <w:bCs/>
          <w:color w:val="1A3E75"/>
          <w:sz w:val="22"/>
          <w:szCs w:val="22"/>
        </w:rPr>
        <w:t xml:space="preserve">PY-021  </w:t>
      </w:r>
      <w:r>
        <w:rPr>
          <w:b/>
          <w:bCs/>
          <w:sz w:val="22"/>
          <w:szCs w:val="22"/>
        </w:rPr>
        <w:t xml:space="preserve">Kommissionsplan Standard</w:t>
      </w:r>
      <w:r>
        <w:rPr>
          <w:i/>
          <w:iCs/>
          <w:color w:val="666666"/>
          <w:sz w:val="20"/>
          <w:szCs w:val="20"/>
        </w:rPr>
        <w:t xml:space="preserve">  —  Standard Commission Plan</w:t>
      </w:r>
    </w:p>
    <w:p>
      <w:pPr>
        <w:spacing w:after="120"/>
      </w:pPr>
      <w:r>
        <w:rPr>
          <w:sz w:val="21"/>
          <w:szCs w:val="21"/>
        </w:rPr>
        <w:t xml:space="preserve">Standardmäßiger Kommissionssatz von 12 %, anwendbar auf alle nicht gesondert vertraglich geregelten Vendoren.</w:t>
      </w:r>
    </w:p>
    <w:p>
      <w:pPr>
        <w:spacing w:after="40" w:before="160"/>
      </w:pPr>
      <w:r>
        <w:rPr>
          <w:b/>
          <w:bCs/>
          <w:color w:val="1A3E75"/>
          <w:sz w:val="22"/>
          <w:szCs w:val="22"/>
        </w:rPr>
        <w:t xml:space="preserve">PY-022  </w:t>
      </w:r>
      <w:r>
        <w:rPr>
          <w:b/>
          <w:bCs/>
          <w:sz w:val="22"/>
          <w:szCs w:val="22"/>
        </w:rPr>
        <w:t xml:space="preserve">Kommissionsplan Professional</w:t>
      </w:r>
      <w:r>
        <w:rPr>
          <w:i/>
          <w:iCs/>
          <w:color w:val="666666"/>
          <w:sz w:val="20"/>
          <w:szCs w:val="20"/>
        </w:rPr>
        <w:t xml:space="preserve">  —  Professional Commission Plan</w:t>
      </w:r>
    </w:p>
    <w:p>
      <w:pPr>
        <w:spacing w:after="120"/>
      </w:pPr>
      <w:r>
        <w:rPr>
          <w:sz w:val="21"/>
          <w:szCs w:val="21"/>
        </w:rPr>
        <w:t xml:space="preserve">Kommissionssatz von 9 %, anwendbar auf Vendoren, die die Voraussetzungen des Professional-Plans erfüllen.</w:t>
      </w:r>
    </w:p>
    <w:p>
      <w:pPr>
        <w:spacing w:after="40" w:before="160"/>
      </w:pPr>
      <w:r>
        <w:rPr>
          <w:b/>
          <w:bCs/>
          <w:color w:val="1A3E75"/>
          <w:sz w:val="22"/>
          <w:szCs w:val="22"/>
        </w:rPr>
        <w:t xml:space="preserve">PY-023  </w:t>
      </w:r>
      <w:r>
        <w:rPr>
          <w:b/>
          <w:bCs/>
          <w:sz w:val="22"/>
          <w:szCs w:val="22"/>
        </w:rPr>
        <w:t xml:space="preserve">Kommissionsplan Enterprise</w:t>
      </w:r>
      <w:r>
        <w:rPr>
          <w:i/>
          <w:iCs/>
          <w:color w:val="666666"/>
          <w:sz w:val="20"/>
          <w:szCs w:val="20"/>
        </w:rPr>
        <w:t xml:space="preserve">  —  Enterprise Commission Plan</w:t>
      </w:r>
    </w:p>
    <w:p>
      <w:pPr>
        <w:spacing w:after="120"/>
      </w:pPr>
      <w:r>
        <w:rPr>
          <w:sz w:val="21"/>
          <w:szCs w:val="21"/>
        </w:rPr>
        <w:t xml:space="preserve">Individuell verhandelter Kommissionssatz für Vendoren mit hohem Volumen oder besonderen Anforderungen.</w:t>
      </w:r>
    </w:p>
    <w:p>
      <w:pPr>
        <w:spacing w:after="40" w:before="160"/>
      </w:pPr>
      <w:r>
        <w:rPr>
          <w:b/>
          <w:bCs/>
          <w:color w:val="1A3E75"/>
          <w:sz w:val="22"/>
          <w:szCs w:val="22"/>
        </w:rPr>
        <w:t xml:space="preserve">PY-024  </w:t>
      </w:r>
      <w:r>
        <w:rPr>
          <w:b/>
          <w:bCs/>
          <w:sz w:val="22"/>
          <w:szCs w:val="22"/>
        </w:rPr>
        <w:t xml:space="preserve">Vendor-Wallet</w:t>
      </w:r>
      <w:r>
        <w:rPr>
          <w:i/>
          <w:iCs/>
          <w:color w:val="666666"/>
          <w:sz w:val="20"/>
          <w:szCs w:val="20"/>
        </w:rPr>
        <w:t xml:space="preserve">  —  Vendor Wallet</w:t>
      </w:r>
    </w:p>
    <w:p>
      <w:pPr>
        <w:spacing w:after="120"/>
      </w:pPr>
      <w:r>
        <w:rPr>
          <w:sz w:val="21"/>
          <w:szCs w:val="21"/>
        </w:rPr>
        <w:t xml:space="preserve">Auf Vendor bezogenes, buchhalterisch geführtes Guthabenkonto in der Plattform, das eingehende Mietentgelte, Abzüge, Auszahlungen und Rückstellungen ausweist.</w:t>
      </w:r>
    </w:p>
    <w:p>
      <w:pPr>
        <w:spacing w:after="40" w:before="160"/>
      </w:pPr>
      <w:r>
        <w:rPr>
          <w:b/>
          <w:bCs/>
          <w:color w:val="1A3E75"/>
          <w:sz w:val="22"/>
          <w:szCs w:val="22"/>
        </w:rPr>
        <w:t xml:space="preserve">PY-025  </w:t>
      </w:r>
      <w:r>
        <w:rPr>
          <w:b/>
          <w:bCs/>
          <w:sz w:val="22"/>
          <w:szCs w:val="22"/>
        </w:rPr>
        <w:t xml:space="preserve">Auszahlung</w:t>
      </w:r>
      <w:r>
        <w:rPr>
          <w:i/>
          <w:iCs/>
          <w:color w:val="666666"/>
          <w:sz w:val="20"/>
          <w:szCs w:val="20"/>
        </w:rPr>
        <w:t xml:space="preserve">  —  Payout</w:t>
      </w:r>
    </w:p>
    <w:p>
      <w:pPr>
        <w:spacing w:after="120"/>
      </w:pPr>
      <w:r>
        <w:rPr>
          <w:sz w:val="21"/>
          <w:szCs w:val="21"/>
        </w:rPr>
        <w:t xml:space="preserve">Übertragung eines Vendor-Wallet-Guthabens auf ein zuvor verifiziertes Bankkonto des Vendors nach Maßgabe der Payout-Policy.</w:t>
      </w:r>
    </w:p>
    <w:p>
      <w:pPr>
        <w:spacing w:after="40" w:before="160"/>
      </w:pPr>
      <w:r>
        <w:rPr>
          <w:b/>
          <w:bCs/>
          <w:color w:val="1A3E75"/>
          <w:sz w:val="22"/>
          <w:szCs w:val="22"/>
        </w:rPr>
        <w:t xml:space="preserve">PY-026  </w:t>
      </w:r>
      <w:r>
        <w:rPr>
          <w:b/>
          <w:bCs/>
          <w:sz w:val="22"/>
          <w:szCs w:val="22"/>
        </w:rPr>
        <w:t xml:space="preserve">Auszahlungs-Sperrfrist</w:t>
      </w:r>
      <w:r>
        <w:rPr>
          <w:i/>
          <w:iCs/>
          <w:color w:val="666666"/>
          <w:sz w:val="20"/>
          <w:szCs w:val="20"/>
        </w:rPr>
        <w:t xml:space="preserve">  —  Payout Hold</w:t>
      </w:r>
    </w:p>
    <w:p>
      <w:pPr>
        <w:spacing w:after="120"/>
      </w:pPr>
      <w:r>
        <w:rPr>
          <w:sz w:val="21"/>
          <w:szCs w:val="21"/>
        </w:rPr>
        <w:t xml:space="preserve">Vordefinierter Zeitraum nach Mietende, während dessen Vendor-Guthaben zur Absicherung von Rückerstattungen, Chargebacks und Kautionsansprüchen einbehalten wird.</w:t>
      </w:r>
    </w:p>
    <w:p>
      <w:pPr>
        <w:spacing w:after="40" w:before="160"/>
      </w:pPr>
      <w:r>
        <w:rPr>
          <w:b/>
          <w:bCs/>
          <w:color w:val="1A3E75"/>
          <w:sz w:val="22"/>
          <w:szCs w:val="22"/>
        </w:rPr>
        <w:t xml:space="preserve">PY-027  </w:t>
      </w:r>
      <w:r>
        <w:rPr>
          <w:b/>
          <w:bCs/>
          <w:sz w:val="22"/>
          <w:szCs w:val="22"/>
        </w:rPr>
        <w:t xml:space="preserve">Auszahlungsrhythmus</w:t>
      </w:r>
      <w:r>
        <w:rPr>
          <w:i/>
          <w:iCs/>
          <w:color w:val="666666"/>
          <w:sz w:val="20"/>
          <w:szCs w:val="20"/>
        </w:rPr>
        <w:t xml:space="preserve">  —  Payout Schedule</w:t>
      </w:r>
    </w:p>
    <w:p>
      <w:pPr>
        <w:spacing w:after="120"/>
      </w:pPr>
      <w:r>
        <w:rPr>
          <w:sz w:val="21"/>
          <w:szCs w:val="21"/>
        </w:rPr>
        <w:t xml:space="preserve">Vertraglich vereinbarter Turnus für Auszahlungen (z. B. wöchentlich, alle zwei Wochen, monatlich).</w:t>
      </w:r>
    </w:p>
    <w:p>
      <w:pPr>
        <w:spacing w:after="40" w:before="160"/>
      </w:pPr>
      <w:r>
        <w:rPr>
          <w:b/>
          <w:bCs/>
          <w:color w:val="1A3E75"/>
          <w:sz w:val="22"/>
          <w:szCs w:val="22"/>
        </w:rPr>
        <w:t xml:space="preserve">PY-028  </w:t>
      </w:r>
      <w:r>
        <w:rPr>
          <w:b/>
          <w:bCs/>
          <w:sz w:val="22"/>
          <w:szCs w:val="22"/>
        </w:rPr>
        <w:t xml:space="preserve">Marketplace-Abrechnung</w:t>
      </w:r>
      <w:r>
        <w:rPr>
          <w:i/>
          <w:iCs/>
          <w:color w:val="666666"/>
          <w:sz w:val="20"/>
          <w:szCs w:val="20"/>
        </w:rPr>
        <w:t xml:space="preserve">  —  Marketplace Settlement</w:t>
      </w:r>
    </w:p>
    <w:p>
      <w:pPr>
        <w:spacing w:after="120"/>
      </w:pPr>
      <w:r>
        <w:rPr>
          <w:sz w:val="21"/>
          <w:szCs w:val="21"/>
        </w:rPr>
        <w:t xml:space="preserve">Zeitraumbezogene Abrechnung sämtlicher Buchungen, Abzüge, Kommissionen, Storni und Kautionsvorgänge eines Vendors.</w:t>
      </w:r>
    </w:p>
    <w:p>
      <w:pPr>
        <w:spacing w:after="40" w:before="160"/>
      </w:pPr>
      <w:r>
        <w:rPr>
          <w:b/>
          <w:bCs/>
          <w:color w:val="1A3E75"/>
          <w:sz w:val="22"/>
          <w:szCs w:val="22"/>
        </w:rPr>
        <w:t xml:space="preserve">PY-029  </w:t>
      </w:r>
      <w:r>
        <w:rPr>
          <w:b/>
          <w:bCs/>
          <w:sz w:val="22"/>
          <w:szCs w:val="22"/>
        </w:rPr>
        <w:t xml:space="preserve">Gutschrift</w:t>
      </w:r>
      <w:r>
        <w:rPr>
          <w:i/>
          <w:iCs/>
          <w:color w:val="666666"/>
          <w:sz w:val="20"/>
          <w:szCs w:val="20"/>
        </w:rPr>
        <w:t xml:space="preserve">  —  Credit Note</w:t>
      </w:r>
    </w:p>
    <w:p>
      <w:pPr>
        <w:spacing w:after="120"/>
      </w:pPr>
      <w:r>
        <w:rPr>
          <w:sz w:val="21"/>
          <w:szCs w:val="21"/>
        </w:rPr>
        <w:t xml:space="preserve">Dokumentierte Korrektur oder Anrechnung eines Betrags zugunsten des Kunden oder Vendors, versehen mit eigener Belegnummer.</w:t>
      </w:r>
    </w:p>
    <w:p>
      <w:pPr>
        <w:spacing w:after="40" w:before="160"/>
      </w:pPr>
      <w:r>
        <w:rPr>
          <w:b/>
          <w:bCs/>
          <w:color w:val="1A3E75"/>
          <w:sz w:val="22"/>
          <w:szCs w:val="22"/>
        </w:rPr>
        <w:t xml:space="preserve">PY-030  </w:t>
      </w:r>
      <w:r>
        <w:rPr>
          <w:b/>
          <w:bCs/>
          <w:sz w:val="22"/>
          <w:szCs w:val="22"/>
        </w:rPr>
        <w:t xml:space="preserve">Guthaben</w:t>
      </w:r>
      <w:r>
        <w:rPr>
          <w:i/>
          <w:iCs/>
          <w:color w:val="666666"/>
          <w:sz w:val="20"/>
          <w:szCs w:val="20"/>
        </w:rPr>
        <w:t xml:space="preserve">  —  Account Credit</w:t>
      </w:r>
    </w:p>
    <w:p>
      <w:pPr>
        <w:spacing w:after="120"/>
      </w:pPr>
      <w:r>
        <w:rPr>
          <w:sz w:val="21"/>
          <w:szCs w:val="21"/>
        </w:rPr>
        <w:t xml:space="preserve">Nicht ausgezahlter, auf einem Konto der Plattform geführter Betrag zugunsten eines Kunden zur Verrechnung mit künftigen Mietentgelten.</w:t>
      </w:r>
    </w:p>
    <w:p>
      <w:pPr>
        <w:spacing w:after="40" w:before="160"/>
      </w:pPr>
      <w:r>
        <w:rPr>
          <w:b/>
          <w:bCs/>
          <w:color w:val="1A3E75"/>
          <w:sz w:val="22"/>
          <w:szCs w:val="22"/>
        </w:rPr>
        <w:t xml:space="preserve">PY-031  </w:t>
      </w:r>
      <w:r>
        <w:rPr>
          <w:b/>
          <w:bCs/>
          <w:sz w:val="22"/>
          <w:szCs w:val="22"/>
        </w:rPr>
        <w:t xml:space="preserve">Gutschein</w:t>
      </w:r>
      <w:r>
        <w:rPr>
          <w:i/>
          <w:iCs/>
          <w:color w:val="666666"/>
          <w:sz w:val="20"/>
          <w:szCs w:val="20"/>
        </w:rPr>
        <w:t xml:space="preserve">  —  Coupon</w:t>
      </w:r>
    </w:p>
    <w:p>
      <w:pPr>
        <w:spacing w:after="120"/>
      </w:pPr>
      <w:r>
        <w:rPr>
          <w:sz w:val="21"/>
          <w:szCs w:val="21"/>
        </w:rPr>
        <w:t xml:space="preserve">Rabattcode mit definierten Einlösebedingungen, Gültigkeitszeitraum und Wertgrenze.</w:t>
      </w:r>
    </w:p>
    <w:p>
      <w:pPr>
        <w:spacing w:after="40" w:before="160"/>
      </w:pPr>
      <w:r>
        <w:rPr>
          <w:b/>
          <w:bCs/>
          <w:color w:val="1A3E75"/>
          <w:sz w:val="22"/>
          <w:szCs w:val="22"/>
        </w:rPr>
        <w:t xml:space="preserve">PY-032  </w:t>
      </w:r>
      <w:r>
        <w:rPr>
          <w:b/>
          <w:bCs/>
          <w:sz w:val="22"/>
          <w:szCs w:val="22"/>
        </w:rPr>
        <w:t xml:space="preserve">Geschenkgutschein</w:t>
      </w:r>
      <w:r>
        <w:rPr>
          <w:i/>
          <w:iCs/>
          <w:color w:val="666666"/>
          <w:sz w:val="20"/>
          <w:szCs w:val="20"/>
        </w:rPr>
        <w:t xml:space="preserve">  —  Gift Card</w:t>
      </w:r>
    </w:p>
    <w:p>
      <w:pPr>
        <w:spacing w:after="120"/>
      </w:pPr>
      <w:r>
        <w:rPr>
          <w:sz w:val="21"/>
          <w:szCs w:val="21"/>
        </w:rPr>
        <w:t xml:space="preserve">Von der LeasNet GmbH ausgegebener oder vermittelter Wertgutschein zur Bezahlung von Mietentgelten.</w:t>
      </w:r>
    </w:p>
    <w:p>
      <w:pPr>
        <w:spacing w:after="40" w:before="160"/>
      </w:pPr>
      <w:r>
        <w:rPr>
          <w:b/>
          <w:bCs/>
          <w:color w:val="1A3E75"/>
          <w:sz w:val="22"/>
          <w:szCs w:val="22"/>
        </w:rPr>
        <w:t xml:space="preserve">PY-033  </w:t>
      </w:r>
      <w:r>
        <w:rPr>
          <w:b/>
          <w:bCs/>
          <w:sz w:val="22"/>
          <w:szCs w:val="22"/>
        </w:rPr>
        <w:t xml:space="preserve">Rechnung</w:t>
      </w:r>
      <w:r>
        <w:rPr>
          <w:i/>
          <w:iCs/>
          <w:color w:val="666666"/>
          <w:sz w:val="20"/>
          <w:szCs w:val="20"/>
        </w:rPr>
        <w:t xml:space="preserve">  —  Invoice</w:t>
      </w:r>
    </w:p>
    <w:p>
      <w:pPr>
        <w:spacing w:after="120"/>
      </w:pPr>
      <w:r>
        <w:rPr>
          <w:sz w:val="21"/>
          <w:szCs w:val="21"/>
        </w:rPr>
        <w:t xml:space="preserve">Nach § 14 UStG bzw. entsprechenden EU-Vorschriften ausgestelltes Abrechnungsdokument mit Pflichtangaben zu Leistung, Zeitraum, Steuern und Vertragsparteien.</w:t>
      </w:r>
    </w:p>
    <w:p>
      <w:pPr>
        <w:spacing w:after="40" w:before="160"/>
      </w:pPr>
      <w:r>
        <w:rPr>
          <w:b/>
          <w:bCs/>
          <w:color w:val="1A3E75"/>
          <w:sz w:val="22"/>
          <w:szCs w:val="22"/>
        </w:rPr>
        <w:t xml:space="preserve">PY-034  </w:t>
      </w:r>
      <w:r>
        <w:rPr>
          <w:b/>
          <w:bCs/>
          <w:sz w:val="22"/>
          <w:szCs w:val="22"/>
        </w:rPr>
        <w:t xml:space="preserve">Rechnungsnummer</w:t>
      </w:r>
      <w:r>
        <w:rPr>
          <w:i/>
          <w:iCs/>
          <w:color w:val="666666"/>
          <w:sz w:val="20"/>
          <w:szCs w:val="20"/>
        </w:rPr>
        <w:t xml:space="preserve">  —  Invoice Number</w:t>
      </w:r>
    </w:p>
    <w:p>
      <w:pPr>
        <w:spacing w:after="120"/>
      </w:pPr>
      <w:r>
        <w:rPr>
          <w:sz w:val="21"/>
          <w:szCs w:val="21"/>
        </w:rPr>
        <w:t xml:space="preserve">Fortlaufende, eindeutige Kennung einer Rechnung nach § 14 Abs. 4 Nr. 4 UStG.</w:t>
      </w:r>
    </w:p>
    <w:p>
      <w:pPr>
        <w:spacing w:after="40" w:before="160"/>
      </w:pPr>
      <w:r>
        <w:rPr>
          <w:b/>
          <w:bCs/>
          <w:color w:val="1A3E75"/>
          <w:sz w:val="22"/>
          <w:szCs w:val="22"/>
        </w:rPr>
        <w:t xml:space="preserve">PY-035  </w:t>
      </w:r>
      <w:r>
        <w:rPr>
          <w:b/>
          <w:bCs/>
          <w:sz w:val="22"/>
          <w:szCs w:val="22"/>
        </w:rPr>
        <w:t xml:space="preserve">Belegarchiv</w:t>
      </w:r>
      <w:r>
        <w:rPr>
          <w:i/>
          <w:iCs/>
          <w:color w:val="666666"/>
          <w:sz w:val="20"/>
          <w:szCs w:val="20"/>
        </w:rPr>
        <w:t xml:space="preserve">  —  Document Archive</w:t>
      </w:r>
    </w:p>
    <w:p>
      <w:pPr>
        <w:spacing w:after="120"/>
      </w:pPr>
      <w:r>
        <w:rPr>
          <w:sz w:val="21"/>
          <w:szCs w:val="21"/>
        </w:rPr>
        <w:t xml:space="preserve">Revisionssicherer Speicherbereich für Rechnungen, Gutschriften, Kontoauszüge und Abrechnungsdokumente über die gesetzliche Aufbewahrungsdauer.</w:t>
      </w:r>
    </w:p>
    <w:p>
      <w:pPr>
        <w:spacing w:after="40" w:before="160"/>
      </w:pPr>
      <w:r>
        <w:rPr>
          <w:b/>
          <w:bCs/>
          <w:color w:val="1A3E75"/>
          <w:sz w:val="22"/>
          <w:szCs w:val="22"/>
        </w:rPr>
        <w:t xml:space="preserve">PY-036  </w:t>
      </w:r>
      <w:r>
        <w:rPr>
          <w:b/>
          <w:bCs/>
          <w:sz w:val="22"/>
          <w:szCs w:val="22"/>
        </w:rPr>
        <w:t xml:space="preserve">Aufbewahrungsdauer</w:t>
      </w:r>
      <w:r>
        <w:rPr>
          <w:i/>
          <w:iCs/>
          <w:color w:val="666666"/>
          <w:sz w:val="20"/>
          <w:szCs w:val="20"/>
        </w:rPr>
        <w:t xml:space="preserve">  —  Retention Period</w:t>
      </w:r>
    </w:p>
    <w:p>
      <w:pPr>
        <w:spacing w:after="120"/>
      </w:pPr>
      <w:r>
        <w:rPr>
          <w:sz w:val="21"/>
          <w:szCs w:val="21"/>
        </w:rPr>
        <w:t xml:space="preserve">Gesetzlich vorgegebener Zeitraum zur Aufbewahrung steuer- und handelsrechtlich relevanter Dokumente (i. d. R. 10 Jahre nach § 147 AO / § 257 HGB).</w:t>
      </w:r>
    </w:p>
    <w:p>
      <w:pPr>
        <w:pStyle w:val="Heading2"/>
      </w:pPr>
      <w:r>
        <w:t xml:space="preserve">DP · Kaution &amp; Sicherheit</w:t>
      </w:r>
    </w:p>
    <w:p>
      <w:pPr>
        <w:spacing w:after="40" w:before="160"/>
      </w:pPr>
      <w:r>
        <w:rPr>
          <w:b/>
          <w:bCs/>
          <w:color w:val="1A3E75"/>
          <w:sz w:val="22"/>
          <w:szCs w:val="22"/>
        </w:rPr>
        <w:t xml:space="preserve">DP-001  </w:t>
      </w:r>
      <w:r>
        <w:rPr>
          <w:b/>
          <w:bCs/>
          <w:sz w:val="22"/>
          <w:szCs w:val="22"/>
        </w:rPr>
        <w:t xml:space="preserve">Kaution</w:t>
      </w:r>
      <w:r>
        <w:rPr>
          <w:i/>
          <w:iCs/>
          <w:color w:val="666666"/>
          <w:sz w:val="20"/>
          <w:szCs w:val="20"/>
        </w:rPr>
        <w:t xml:space="preserve">  —  Deposit</w:t>
      </w:r>
    </w:p>
    <w:p>
      <w:pPr>
        <w:spacing w:after="120"/>
      </w:pPr>
      <w:r>
        <w:rPr>
          <w:sz w:val="21"/>
          <w:szCs w:val="21"/>
        </w:rPr>
        <w:t xml:space="preserve">Vom Kunden zur Sicherung möglicher Ansprüche des Vermieters gestellter Betrag, der über den Zahlungsdienstleister vorautorisiert, blockiert oder eingezogen wird.</w:t>
      </w:r>
    </w:p>
    <w:p>
      <w:pPr>
        <w:spacing w:after="40" w:before="160"/>
      </w:pPr>
      <w:r>
        <w:rPr>
          <w:b/>
          <w:bCs/>
          <w:color w:val="1A3E75"/>
          <w:sz w:val="22"/>
          <w:szCs w:val="22"/>
        </w:rPr>
        <w:t xml:space="preserve">DP-002  </w:t>
      </w:r>
      <w:r>
        <w:rPr>
          <w:b/>
          <w:bCs/>
          <w:sz w:val="22"/>
          <w:szCs w:val="22"/>
        </w:rPr>
        <w:t xml:space="preserve">Kautionsart</w:t>
      </w:r>
      <w:r>
        <w:rPr>
          <w:i/>
          <w:iCs/>
          <w:color w:val="666666"/>
          <w:sz w:val="20"/>
          <w:szCs w:val="20"/>
        </w:rPr>
        <w:t xml:space="preserve">  —  Deposit Type</w:t>
      </w:r>
    </w:p>
    <w:p>
      <w:pPr>
        <w:spacing w:after="120"/>
      </w:pPr>
      <w:r>
        <w:rPr>
          <w:sz w:val="21"/>
          <w:szCs w:val="21"/>
        </w:rPr>
        <w:t xml:space="preserve">Ausgestaltung der Kaution als Vorautorisierung, Zahlungsblockierung oder tatsächliche Einzugsleistung.</w:t>
      </w:r>
    </w:p>
    <w:p>
      <w:pPr>
        <w:spacing w:after="40" w:before="160"/>
      </w:pPr>
      <w:r>
        <w:rPr>
          <w:b/>
          <w:bCs/>
          <w:color w:val="1A3E75"/>
          <w:sz w:val="22"/>
          <w:szCs w:val="22"/>
        </w:rPr>
        <w:t xml:space="preserve">DP-003  </w:t>
      </w:r>
      <w:r>
        <w:rPr>
          <w:b/>
          <w:bCs/>
          <w:sz w:val="22"/>
          <w:szCs w:val="22"/>
        </w:rPr>
        <w:t xml:space="preserve">Kautionshöhe</w:t>
      </w:r>
      <w:r>
        <w:rPr>
          <w:i/>
          <w:iCs/>
          <w:color w:val="666666"/>
          <w:sz w:val="20"/>
          <w:szCs w:val="20"/>
        </w:rPr>
        <w:t xml:space="preserve">  —  Deposit Amount</w:t>
      </w:r>
    </w:p>
    <w:p>
      <w:pPr>
        <w:spacing w:after="120"/>
      </w:pPr>
      <w:r>
        <w:rPr>
          <w:sz w:val="21"/>
          <w:szCs w:val="21"/>
        </w:rPr>
        <w:t xml:space="preserve">Bestimmter oder bestimmbarer Betrag der Kaution, orientiert am Wiederbeschaffungswert des Assets und Risikoprofil.</w:t>
      </w:r>
    </w:p>
    <w:p>
      <w:pPr>
        <w:spacing w:after="40" w:before="160"/>
      </w:pPr>
      <w:r>
        <w:rPr>
          <w:b/>
          <w:bCs/>
          <w:color w:val="1A3E75"/>
          <w:sz w:val="22"/>
          <w:szCs w:val="22"/>
        </w:rPr>
        <w:t xml:space="preserve">DP-004  </w:t>
      </w:r>
      <w:r>
        <w:rPr>
          <w:b/>
          <w:bCs/>
          <w:sz w:val="22"/>
          <w:szCs w:val="22"/>
        </w:rPr>
        <w:t xml:space="preserve">Kautionsverwahrer</w:t>
      </w:r>
      <w:r>
        <w:rPr>
          <w:i/>
          <w:iCs/>
          <w:color w:val="666666"/>
          <w:sz w:val="20"/>
          <w:szCs w:val="20"/>
        </w:rPr>
        <w:t xml:space="preserve">  —  Deposit Custodian</w:t>
      </w:r>
    </w:p>
    <w:p>
      <w:pPr>
        <w:spacing w:after="120"/>
      </w:pPr>
      <w:r>
        <w:rPr>
          <w:sz w:val="21"/>
          <w:szCs w:val="21"/>
        </w:rPr>
        <w:t xml:space="preserve">Die LeasNet GmbH. Sie verwahrt und verwaltet Kautionen sowohl bei Direct-Rental als auch bei Marketplace-Rental im Namen des jeweils Berechtigten.</w:t>
      </w:r>
    </w:p>
    <w:p>
      <w:pPr>
        <w:spacing w:after="40" w:before="160"/>
      </w:pPr>
      <w:r>
        <w:rPr>
          <w:b/>
          <w:bCs/>
          <w:color w:val="1A3E75"/>
          <w:sz w:val="22"/>
          <w:szCs w:val="22"/>
        </w:rPr>
        <w:t xml:space="preserve">DP-005  </w:t>
      </w:r>
      <w:r>
        <w:rPr>
          <w:b/>
          <w:bCs/>
          <w:sz w:val="22"/>
          <w:szCs w:val="22"/>
        </w:rPr>
        <w:t xml:space="preserve">Kautionsfreigabe</w:t>
      </w:r>
      <w:r>
        <w:rPr>
          <w:i/>
          <w:iCs/>
          <w:color w:val="666666"/>
          <w:sz w:val="20"/>
          <w:szCs w:val="20"/>
        </w:rPr>
        <w:t xml:space="preserve">  —  Deposit Release</w:t>
      </w:r>
    </w:p>
    <w:p>
      <w:pPr>
        <w:spacing w:after="120"/>
      </w:pPr>
      <w:r>
        <w:rPr>
          <w:sz w:val="21"/>
          <w:szCs w:val="21"/>
        </w:rPr>
        <w:t xml:space="preserve">Rückgabe der Kaution nach ordnungsgemäßer Rückgabe des Assets und Abschluss der Inspektion, abzüglich berechtigter Ansprüche.</w:t>
      </w:r>
    </w:p>
    <w:p>
      <w:pPr>
        <w:spacing w:after="40" w:before="160"/>
      </w:pPr>
      <w:r>
        <w:rPr>
          <w:b/>
          <w:bCs/>
          <w:color w:val="1A3E75"/>
          <w:sz w:val="22"/>
          <w:szCs w:val="22"/>
        </w:rPr>
        <w:t xml:space="preserve">DP-006  </w:t>
      </w:r>
      <w:r>
        <w:rPr>
          <w:b/>
          <w:bCs/>
          <w:sz w:val="22"/>
          <w:szCs w:val="22"/>
        </w:rPr>
        <w:t xml:space="preserve">Kautionseinbehalt</w:t>
      </w:r>
      <w:r>
        <w:rPr>
          <w:i/>
          <w:iCs/>
          <w:color w:val="666666"/>
          <w:sz w:val="20"/>
          <w:szCs w:val="20"/>
        </w:rPr>
        <w:t xml:space="preserve">  —  Deposit Retention</w:t>
      </w:r>
    </w:p>
    <w:p>
      <w:pPr>
        <w:spacing w:after="120"/>
      </w:pPr>
      <w:r>
        <w:rPr>
          <w:sz w:val="21"/>
          <w:szCs w:val="21"/>
        </w:rPr>
        <w:t xml:space="preserve">Verrechnung eines Teils oder der gesamten Kaution mit vertraglich begründeten Ansprüchen des Vermieters (z. B. Schaden, Verlust, verspätete Rückgabe).</w:t>
      </w:r>
    </w:p>
    <w:p>
      <w:pPr>
        <w:spacing w:after="40" w:before="160"/>
      </w:pPr>
      <w:r>
        <w:rPr>
          <w:b/>
          <w:bCs/>
          <w:color w:val="1A3E75"/>
          <w:sz w:val="22"/>
          <w:szCs w:val="22"/>
        </w:rPr>
        <w:t xml:space="preserve">DP-007  </w:t>
      </w:r>
      <w:r>
        <w:rPr>
          <w:b/>
          <w:bCs/>
          <w:sz w:val="22"/>
          <w:szCs w:val="22"/>
        </w:rPr>
        <w:t xml:space="preserve">Kautionsfreigabefrist</w:t>
      </w:r>
      <w:r>
        <w:rPr>
          <w:i/>
          <w:iCs/>
          <w:color w:val="666666"/>
          <w:sz w:val="20"/>
          <w:szCs w:val="20"/>
        </w:rPr>
        <w:t xml:space="preserve">  —  Deposit Release Deadline</w:t>
      </w:r>
    </w:p>
    <w:p>
      <w:pPr>
        <w:spacing w:after="120"/>
      </w:pPr>
      <w:r>
        <w:rPr>
          <w:sz w:val="21"/>
          <w:szCs w:val="21"/>
        </w:rPr>
        <w:t xml:space="preserve">Vertragliche Höchstfrist zur Freigabe der Kaution nach Rückgabe des Assets bei unstrittiger Sachlage.</w:t>
      </w:r>
    </w:p>
    <w:p>
      <w:pPr>
        <w:spacing w:after="40" w:before="160"/>
      </w:pPr>
      <w:r>
        <w:rPr>
          <w:b/>
          <w:bCs/>
          <w:color w:val="1A3E75"/>
          <w:sz w:val="22"/>
          <w:szCs w:val="22"/>
        </w:rPr>
        <w:t xml:space="preserve">DP-008  </w:t>
      </w:r>
      <w:r>
        <w:rPr>
          <w:b/>
          <w:bCs/>
          <w:sz w:val="22"/>
          <w:szCs w:val="22"/>
        </w:rPr>
        <w:t xml:space="preserve">Kautionsstreitigkeit</w:t>
      </w:r>
      <w:r>
        <w:rPr>
          <w:i/>
          <w:iCs/>
          <w:color w:val="666666"/>
          <w:sz w:val="20"/>
          <w:szCs w:val="20"/>
        </w:rPr>
        <w:t xml:space="preserve">  —  Deposit Dispute</w:t>
      </w:r>
    </w:p>
    <w:p>
      <w:pPr>
        <w:spacing w:after="120"/>
      </w:pPr>
      <w:r>
        <w:rPr>
          <w:sz w:val="21"/>
          <w:szCs w:val="21"/>
        </w:rPr>
        <w:t xml:space="preserve">Beanstandung einer angekündigten Kautionseinbehalts durch den Kunden; wird in den Streitbeilegungsprozess überführt.</w:t>
      </w:r>
    </w:p>
    <w:p>
      <w:pPr>
        <w:spacing w:after="40" w:before="160"/>
      </w:pPr>
      <w:r>
        <w:rPr>
          <w:b/>
          <w:bCs/>
          <w:color w:val="1A3E75"/>
          <w:sz w:val="22"/>
          <w:szCs w:val="22"/>
        </w:rPr>
        <w:t xml:space="preserve">DP-009  </w:t>
      </w:r>
      <w:r>
        <w:rPr>
          <w:b/>
          <w:bCs/>
          <w:sz w:val="22"/>
          <w:szCs w:val="22"/>
        </w:rPr>
        <w:t xml:space="preserve">Kautionsersatzmodell</w:t>
      </w:r>
      <w:r>
        <w:rPr>
          <w:i/>
          <w:iCs/>
          <w:color w:val="666666"/>
          <w:sz w:val="20"/>
          <w:szCs w:val="20"/>
        </w:rPr>
        <w:t xml:space="preserve">  —  Deposit Alternative</w:t>
      </w:r>
    </w:p>
    <w:p>
      <w:pPr>
        <w:spacing w:after="120"/>
      </w:pPr>
      <w:r>
        <w:rPr>
          <w:sz w:val="21"/>
          <w:szCs w:val="21"/>
        </w:rPr>
        <w:t xml:space="preserve">Optionales Modell zur Reduzierung oder Ersetzung der Kaution gegen Nutzung eines Schutzpakets oder Bonitätsverfahren; setzt gesonderte Zustimmung voraus.</w:t>
      </w:r>
    </w:p>
    <w:p>
      <w:pPr>
        <w:spacing w:after="40" w:before="160"/>
      </w:pPr>
      <w:r>
        <w:rPr>
          <w:b/>
          <w:bCs/>
          <w:color w:val="1A3E75"/>
          <w:sz w:val="22"/>
          <w:szCs w:val="22"/>
        </w:rPr>
        <w:t xml:space="preserve">DP-010  </w:t>
      </w:r>
      <w:r>
        <w:rPr>
          <w:b/>
          <w:bCs/>
          <w:sz w:val="22"/>
          <w:szCs w:val="22"/>
        </w:rPr>
        <w:t xml:space="preserve">Kautionsbeleg</w:t>
      </w:r>
      <w:r>
        <w:rPr>
          <w:i/>
          <w:iCs/>
          <w:color w:val="666666"/>
          <w:sz w:val="20"/>
          <w:szCs w:val="20"/>
        </w:rPr>
        <w:t xml:space="preserve">  —  Deposit Receipt</w:t>
      </w:r>
    </w:p>
    <w:p>
      <w:pPr>
        <w:spacing w:after="120"/>
      </w:pPr>
      <w:r>
        <w:rPr>
          <w:sz w:val="21"/>
          <w:szCs w:val="21"/>
        </w:rPr>
        <w:t xml:space="preserve">Bestätigung der Kautionshöhe, -art, -halterin und der voraussichtlichen Freigabefrist gegenüber dem Kunden.</w:t>
      </w:r>
    </w:p>
    <w:p>
      <w:pPr>
        <w:pStyle w:val="Heading2"/>
      </w:pPr>
      <w:r>
        <w:t xml:space="preserve">DM · Schaden, Verschleiß &amp; Verlust</w:t>
      </w:r>
    </w:p>
    <w:p>
      <w:pPr>
        <w:spacing w:after="40" w:before="160"/>
      </w:pPr>
      <w:r>
        <w:rPr>
          <w:b/>
          <w:bCs/>
          <w:color w:val="1A3E75"/>
          <w:sz w:val="22"/>
          <w:szCs w:val="22"/>
        </w:rPr>
        <w:t xml:space="preserve">DM-001  </w:t>
      </w:r>
      <w:r>
        <w:rPr>
          <w:b/>
          <w:bCs/>
          <w:sz w:val="22"/>
          <w:szCs w:val="22"/>
        </w:rPr>
        <w:t xml:space="preserve">Vertragsgemäßer Gebrauch</w:t>
      </w:r>
      <w:r>
        <w:rPr>
          <w:i/>
          <w:iCs/>
          <w:color w:val="666666"/>
          <w:sz w:val="20"/>
          <w:szCs w:val="20"/>
        </w:rPr>
        <w:t xml:space="preserve">  —  Contractual Use</w:t>
      </w:r>
    </w:p>
    <w:p>
      <w:pPr>
        <w:spacing w:after="120"/>
      </w:pPr>
      <w:r>
        <w:rPr>
          <w:sz w:val="21"/>
          <w:szCs w:val="21"/>
        </w:rPr>
        <w:t xml:space="preserve">Nutzung des Assets im Rahmen des vereinbarten Zwecks, der bestimmungsgemäßen Bedienung und der geltenden Sicherheitsvorgaben.</w:t>
      </w:r>
    </w:p>
    <w:p>
      <w:pPr>
        <w:spacing w:after="40" w:before="160"/>
      </w:pPr>
      <w:r>
        <w:rPr>
          <w:b/>
          <w:bCs/>
          <w:color w:val="1A3E75"/>
          <w:sz w:val="22"/>
          <w:szCs w:val="22"/>
        </w:rPr>
        <w:t xml:space="preserve">DM-002  </w:t>
      </w:r>
      <w:r>
        <w:rPr>
          <w:b/>
          <w:bCs/>
          <w:sz w:val="22"/>
          <w:szCs w:val="22"/>
        </w:rPr>
        <w:t xml:space="preserve">Übermäßige Nutzung</w:t>
      </w:r>
      <w:r>
        <w:rPr>
          <w:i/>
          <w:iCs/>
          <w:color w:val="666666"/>
          <w:sz w:val="20"/>
          <w:szCs w:val="20"/>
        </w:rPr>
        <w:t xml:space="preserve">  —  Excessive Use</w:t>
      </w:r>
    </w:p>
    <w:p>
      <w:pPr>
        <w:spacing w:after="120"/>
      </w:pPr>
      <w:r>
        <w:rPr>
          <w:sz w:val="21"/>
          <w:szCs w:val="21"/>
        </w:rPr>
        <w:t xml:space="preserve">Nutzung, die über den vertragsgemäßen Rahmen hinausgeht (z. B. deutliche Überschreitung von Betriebsstunden, Kilometer- oder Zyklenwerten).</w:t>
      </w:r>
    </w:p>
    <w:p>
      <w:pPr>
        <w:spacing w:after="40" w:before="160"/>
      </w:pPr>
      <w:r>
        <w:rPr>
          <w:b/>
          <w:bCs/>
          <w:color w:val="1A3E75"/>
          <w:sz w:val="22"/>
          <w:szCs w:val="22"/>
        </w:rPr>
        <w:t xml:space="preserve">DM-003  </w:t>
      </w:r>
      <w:r>
        <w:rPr>
          <w:b/>
          <w:bCs/>
          <w:sz w:val="22"/>
          <w:szCs w:val="22"/>
        </w:rPr>
        <w:t xml:space="preserve">Gewöhnliche Abnutzung</w:t>
      </w:r>
      <w:r>
        <w:rPr>
          <w:i/>
          <w:iCs/>
          <w:color w:val="666666"/>
          <w:sz w:val="20"/>
          <w:szCs w:val="20"/>
        </w:rPr>
        <w:t xml:space="preserve">  —  Normal Wear and Tear</w:t>
      </w:r>
    </w:p>
    <w:p>
      <w:pPr>
        <w:spacing w:after="120"/>
      </w:pPr>
      <w:r>
        <w:rPr>
          <w:sz w:val="21"/>
          <w:szCs w:val="21"/>
        </w:rPr>
        <w:t xml:space="preserve">Solche Zustandsveränderungen, die trotz vertragsgemäßem Gebrauch typischerweise entstehen; sie sind mit dem Mietentgelt abgegolten.</w:t>
      </w:r>
    </w:p>
    <w:p>
      <w:pPr>
        <w:spacing w:after="40" w:before="160"/>
      </w:pPr>
      <w:r>
        <w:rPr>
          <w:b/>
          <w:bCs/>
          <w:color w:val="1A3E75"/>
          <w:sz w:val="22"/>
          <w:szCs w:val="22"/>
        </w:rPr>
        <w:t xml:space="preserve">DM-004  </w:t>
      </w:r>
      <w:r>
        <w:rPr>
          <w:b/>
          <w:bCs/>
          <w:sz w:val="22"/>
          <w:szCs w:val="22"/>
        </w:rPr>
        <w:t xml:space="preserve">Kosmetischer Schaden</w:t>
      </w:r>
      <w:r>
        <w:rPr>
          <w:i/>
          <w:iCs/>
          <w:color w:val="666666"/>
          <w:sz w:val="20"/>
          <w:szCs w:val="20"/>
        </w:rPr>
        <w:t xml:space="preserve">  —  Cosmetic Damage</w:t>
      </w:r>
    </w:p>
    <w:p>
      <w:pPr>
        <w:spacing w:after="120"/>
      </w:pPr>
      <w:r>
        <w:rPr>
          <w:sz w:val="21"/>
          <w:szCs w:val="21"/>
        </w:rPr>
        <w:t xml:space="preserve">Sichtbare Beeinträchtigungen (Kratzer, Dellen, Verfärbungen), die die Funktion nicht beeinträchtigen; werden nach Zustandsklasse bewertet.</w:t>
      </w:r>
    </w:p>
    <w:p>
      <w:pPr>
        <w:spacing w:after="40" w:before="160"/>
      </w:pPr>
      <w:r>
        <w:rPr>
          <w:b/>
          <w:bCs/>
          <w:color w:val="1A3E75"/>
          <w:sz w:val="22"/>
          <w:szCs w:val="22"/>
        </w:rPr>
        <w:t xml:space="preserve">DM-005  </w:t>
      </w:r>
      <w:r>
        <w:rPr>
          <w:b/>
          <w:bCs/>
          <w:sz w:val="22"/>
          <w:szCs w:val="22"/>
        </w:rPr>
        <w:t xml:space="preserve">Technischer Schaden</w:t>
      </w:r>
      <w:r>
        <w:rPr>
          <w:i/>
          <w:iCs/>
          <w:color w:val="666666"/>
          <w:sz w:val="20"/>
          <w:szCs w:val="20"/>
        </w:rPr>
        <w:t xml:space="preserve">  —  Technical Damage</w:t>
      </w:r>
    </w:p>
    <w:p>
      <w:pPr>
        <w:spacing w:after="120"/>
      </w:pPr>
      <w:r>
        <w:rPr>
          <w:sz w:val="21"/>
          <w:szCs w:val="21"/>
        </w:rPr>
        <w:t xml:space="preserve">Funktionsstörungen oder -ausfälle einzelner Baugruppen des Assets, die nicht auf Fabrikations- oder Verschleißfehler zurückzuführen sind.</w:t>
      </w:r>
    </w:p>
    <w:p>
      <w:pPr>
        <w:spacing w:after="40" w:before="160"/>
      </w:pPr>
      <w:r>
        <w:rPr>
          <w:b/>
          <w:bCs/>
          <w:color w:val="1A3E75"/>
          <w:sz w:val="22"/>
          <w:szCs w:val="22"/>
        </w:rPr>
        <w:t xml:space="preserve">DM-006  </w:t>
      </w:r>
      <w:r>
        <w:rPr>
          <w:b/>
          <w:bCs/>
          <w:sz w:val="22"/>
          <w:szCs w:val="22"/>
        </w:rPr>
        <w:t xml:space="preserve">Großschaden</w:t>
      </w:r>
      <w:r>
        <w:rPr>
          <w:i/>
          <w:iCs/>
          <w:color w:val="666666"/>
          <w:sz w:val="20"/>
          <w:szCs w:val="20"/>
        </w:rPr>
        <w:t xml:space="preserve">  —  Major Damage</w:t>
      </w:r>
    </w:p>
    <w:p>
      <w:pPr>
        <w:spacing w:after="120"/>
      </w:pPr>
      <w:r>
        <w:rPr>
          <w:sz w:val="21"/>
          <w:szCs w:val="21"/>
        </w:rPr>
        <w:t xml:space="preserve">Schaden, dessen Behebung mehr als einen definierten Prozentsatz (z. B. 60 %) des Wiederbeschaffungswerts kostet oder wesentliche Baugruppen betrifft.</w:t>
      </w:r>
    </w:p>
    <w:p>
      <w:pPr>
        <w:spacing w:after="40" w:before="160"/>
      </w:pPr>
      <w:r>
        <w:rPr>
          <w:b/>
          <w:bCs/>
          <w:color w:val="1A3E75"/>
          <w:sz w:val="22"/>
          <w:szCs w:val="22"/>
        </w:rPr>
        <w:t xml:space="preserve">DM-007  </w:t>
      </w:r>
      <w:r>
        <w:rPr>
          <w:b/>
          <w:bCs/>
          <w:sz w:val="22"/>
          <w:szCs w:val="22"/>
        </w:rPr>
        <w:t xml:space="preserve">Totalverlust</w:t>
      </w:r>
      <w:r>
        <w:rPr>
          <w:i/>
          <w:iCs/>
          <w:color w:val="666666"/>
          <w:sz w:val="20"/>
          <w:szCs w:val="20"/>
        </w:rPr>
        <w:t xml:space="preserve">  —  Total Loss</w:t>
      </w:r>
    </w:p>
    <w:p>
      <w:pPr>
        <w:spacing w:after="120"/>
      </w:pPr>
      <w:r>
        <w:rPr>
          <w:sz w:val="21"/>
          <w:szCs w:val="21"/>
        </w:rPr>
        <w:t xml:space="preserve">Verlust oder irreparable Beschädigung des Assets; führt zur Berechnung des Wiederbeschaffungswerts abzüglich zumutbarer Rest- und Wiederverwendungserlöse.</w:t>
      </w:r>
    </w:p>
    <w:p>
      <w:pPr>
        <w:spacing w:after="40" w:before="160"/>
      </w:pPr>
      <w:r>
        <w:rPr>
          <w:b/>
          <w:bCs/>
          <w:color w:val="1A3E75"/>
          <w:sz w:val="22"/>
          <w:szCs w:val="22"/>
        </w:rPr>
        <w:t xml:space="preserve">DM-008  </w:t>
      </w:r>
      <w:r>
        <w:rPr>
          <w:b/>
          <w:bCs/>
          <w:sz w:val="22"/>
          <w:szCs w:val="22"/>
        </w:rPr>
        <w:t xml:space="preserve">Diebstahl</w:t>
      </w:r>
      <w:r>
        <w:rPr>
          <w:i/>
          <w:iCs/>
          <w:color w:val="666666"/>
          <w:sz w:val="20"/>
          <w:szCs w:val="20"/>
        </w:rPr>
        <w:t xml:space="preserve">  —  Theft</w:t>
      </w:r>
    </w:p>
    <w:p>
      <w:pPr>
        <w:spacing w:after="120"/>
      </w:pPr>
      <w:r>
        <w:rPr>
          <w:sz w:val="21"/>
          <w:szCs w:val="21"/>
        </w:rPr>
        <w:t xml:space="preserve">Rechtswidrige Wegnahme des Assets durch Dritte während der Mietzeit; erfordert unverzügliche polizeiliche Anzeige und Meldung an die Plattform.</w:t>
      </w:r>
    </w:p>
    <w:p>
      <w:pPr>
        <w:spacing w:after="40" w:before="160"/>
      </w:pPr>
      <w:r>
        <w:rPr>
          <w:b/>
          <w:bCs/>
          <w:color w:val="1A3E75"/>
          <w:sz w:val="22"/>
          <w:szCs w:val="22"/>
        </w:rPr>
        <w:t xml:space="preserve">DM-009  </w:t>
      </w:r>
      <w:r>
        <w:rPr>
          <w:b/>
          <w:bCs/>
          <w:sz w:val="22"/>
          <w:szCs w:val="22"/>
        </w:rPr>
        <w:t xml:space="preserve">Fehlende Zubehörteile</w:t>
      </w:r>
      <w:r>
        <w:rPr>
          <w:i/>
          <w:iCs/>
          <w:color w:val="666666"/>
          <w:sz w:val="20"/>
          <w:szCs w:val="20"/>
        </w:rPr>
        <w:t xml:space="preserve">  —  Missing Accessories</w:t>
      </w:r>
    </w:p>
    <w:p>
      <w:pPr>
        <w:spacing w:after="120"/>
      </w:pPr>
      <w:r>
        <w:rPr>
          <w:sz w:val="21"/>
          <w:szCs w:val="21"/>
        </w:rPr>
        <w:t xml:space="preserve">Bei Rückgabe fehlende Zubehörteile aus dem definierten Zubehörumfang; werden zu den in der Preisliste ausgewiesenen Ersatzpreisen berechnet.</w:t>
      </w:r>
    </w:p>
    <w:p>
      <w:pPr>
        <w:spacing w:after="40" w:before="160"/>
      </w:pPr>
      <w:r>
        <w:rPr>
          <w:b/>
          <w:bCs/>
          <w:color w:val="1A3E75"/>
          <w:sz w:val="22"/>
          <w:szCs w:val="22"/>
        </w:rPr>
        <w:t xml:space="preserve">DM-010  </w:t>
      </w:r>
      <w:r>
        <w:rPr>
          <w:b/>
          <w:bCs/>
          <w:sz w:val="22"/>
          <w:szCs w:val="22"/>
        </w:rPr>
        <w:t xml:space="preserve">Flüssigkeitsschaden</w:t>
      </w:r>
      <w:r>
        <w:rPr>
          <w:i/>
          <w:iCs/>
          <w:color w:val="666666"/>
          <w:sz w:val="20"/>
          <w:szCs w:val="20"/>
        </w:rPr>
        <w:t xml:space="preserve">  —  Liquid Damage</w:t>
      </w:r>
    </w:p>
    <w:p>
      <w:pPr>
        <w:spacing w:after="120"/>
      </w:pPr>
      <w:r>
        <w:rPr>
          <w:sz w:val="21"/>
          <w:szCs w:val="21"/>
        </w:rPr>
        <w:t xml:space="preserve">Schaden durch Eindringen von Flüssigkeiten, sofern das Asset nicht ausdrücklich als flüssigkeitsgeschützt beworben ist.</w:t>
      </w:r>
    </w:p>
    <w:p>
      <w:pPr>
        <w:spacing w:after="40" w:before="160"/>
      </w:pPr>
      <w:r>
        <w:rPr>
          <w:b/>
          <w:bCs/>
          <w:color w:val="1A3E75"/>
          <w:sz w:val="22"/>
          <w:szCs w:val="22"/>
        </w:rPr>
        <w:t xml:space="preserve">DM-011  </w:t>
      </w:r>
      <w:r>
        <w:rPr>
          <w:b/>
          <w:bCs/>
          <w:sz w:val="22"/>
          <w:szCs w:val="22"/>
        </w:rPr>
        <w:t xml:space="preserve">Displaybruch</w:t>
      </w:r>
      <w:r>
        <w:rPr>
          <w:i/>
          <w:iCs/>
          <w:color w:val="666666"/>
          <w:sz w:val="20"/>
          <w:szCs w:val="20"/>
        </w:rPr>
        <w:t xml:space="preserve">  —  Display Break</w:t>
      </w:r>
    </w:p>
    <w:p>
      <w:pPr>
        <w:spacing w:after="120"/>
      </w:pPr>
      <w:r>
        <w:rPr>
          <w:sz w:val="21"/>
          <w:szCs w:val="21"/>
        </w:rPr>
        <w:t xml:space="preserve">Bruch von Displays, Sichtfenstern oder Objektiven; Bewertung erfolgt anhand der Reparaturkostenliste.</w:t>
      </w:r>
    </w:p>
    <w:p>
      <w:pPr>
        <w:spacing w:after="40" w:before="160"/>
      </w:pPr>
      <w:r>
        <w:rPr>
          <w:b/>
          <w:bCs/>
          <w:color w:val="1A3E75"/>
          <w:sz w:val="22"/>
          <w:szCs w:val="22"/>
        </w:rPr>
        <w:t xml:space="preserve">DM-012  </w:t>
      </w:r>
      <w:r>
        <w:rPr>
          <w:b/>
          <w:bCs/>
          <w:sz w:val="22"/>
          <w:szCs w:val="22"/>
        </w:rPr>
        <w:t xml:space="preserve">Akku-Verschleiß</w:t>
      </w:r>
      <w:r>
        <w:rPr>
          <w:i/>
          <w:iCs/>
          <w:color w:val="666666"/>
          <w:sz w:val="20"/>
          <w:szCs w:val="20"/>
        </w:rPr>
        <w:t xml:space="preserve">  —  Battery Degradation</w:t>
      </w:r>
    </w:p>
    <w:p>
      <w:pPr>
        <w:spacing w:after="120"/>
      </w:pPr>
      <w:r>
        <w:rPr>
          <w:sz w:val="21"/>
          <w:szCs w:val="21"/>
        </w:rPr>
        <w:t xml:space="preserve">Reduzierung der Akku-Kapazität über den erwartungsgemäßen Wert für die Mietdauer hinaus; wird nur bei nachweislich untypischem Verschleiß berücksichtigt.</w:t>
      </w:r>
    </w:p>
    <w:p>
      <w:pPr>
        <w:spacing w:after="40" w:before="160"/>
      </w:pPr>
      <w:r>
        <w:rPr>
          <w:b/>
          <w:bCs/>
          <w:color w:val="1A3E75"/>
          <w:sz w:val="22"/>
          <w:szCs w:val="22"/>
        </w:rPr>
        <w:t xml:space="preserve">DM-013  </w:t>
      </w:r>
      <w:r>
        <w:rPr>
          <w:b/>
          <w:bCs/>
          <w:sz w:val="22"/>
          <w:szCs w:val="22"/>
        </w:rPr>
        <w:t xml:space="preserve">Inspektion</w:t>
      </w:r>
      <w:r>
        <w:rPr>
          <w:i/>
          <w:iCs/>
          <w:color w:val="666666"/>
          <w:sz w:val="20"/>
          <w:szCs w:val="20"/>
        </w:rPr>
        <w:t xml:space="preserve">  —  Inspection</w:t>
      </w:r>
    </w:p>
    <w:p>
      <w:pPr>
        <w:spacing w:after="120"/>
      </w:pPr>
      <w:r>
        <w:rPr>
          <w:sz w:val="21"/>
          <w:szCs w:val="21"/>
        </w:rPr>
        <w:t xml:space="preserve">Standardisierte Prüfung des Assets bei Wareneingang durch geschulte Prüfer; Ergebnis wird protokolliert.</w:t>
      </w:r>
    </w:p>
    <w:p>
      <w:pPr>
        <w:spacing w:after="40" w:before="160"/>
      </w:pPr>
      <w:r>
        <w:rPr>
          <w:b/>
          <w:bCs/>
          <w:color w:val="1A3E75"/>
          <w:sz w:val="22"/>
          <w:szCs w:val="22"/>
        </w:rPr>
        <w:t xml:space="preserve">DM-014  </w:t>
      </w:r>
      <w:r>
        <w:rPr>
          <w:b/>
          <w:bCs/>
          <w:sz w:val="22"/>
          <w:szCs w:val="22"/>
        </w:rPr>
        <w:t xml:space="preserve">Inspektionsbericht</w:t>
      </w:r>
      <w:r>
        <w:rPr>
          <w:i/>
          <w:iCs/>
          <w:color w:val="666666"/>
          <w:sz w:val="20"/>
          <w:szCs w:val="20"/>
        </w:rPr>
        <w:t xml:space="preserve">  —  Inspection Report</w:t>
      </w:r>
    </w:p>
    <w:p>
      <w:pPr>
        <w:spacing w:after="120"/>
      </w:pPr>
      <w:r>
        <w:rPr>
          <w:sz w:val="21"/>
          <w:szCs w:val="21"/>
        </w:rPr>
        <w:t xml:space="preserve">Dokumentation der Inspektion mit Fotos, Messwerten, Zustandsklasse, Ergebnisbewertung und Prüferkennung.</w:t>
      </w:r>
    </w:p>
    <w:p>
      <w:pPr>
        <w:spacing w:after="40" w:before="160"/>
      </w:pPr>
      <w:r>
        <w:rPr>
          <w:b/>
          <w:bCs/>
          <w:color w:val="1A3E75"/>
          <w:sz w:val="22"/>
          <w:szCs w:val="22"/>
        </w:rPr>
        <w:t xml:space="preserve">DM-015  </w:t>
      </w:r>
      <w:r>
        <w:rPr>
          <w:b/>
          <w:bCs/>
          <w:sz w:val="22"/>
          <w:szCs w:val="22"/>
        </w:rPr>
        <w:t xml:space="preserve">Reparatur</w:t>
      </w:r>
      <w:r>
        <w:rPr>
          <w:i/>
          <w:iCs/>
          <w:color w:val="666666"/>
          <w:sz w:val="20"/>
          <w:szCs w:val="20"/>
        </w:rPr>
        <w:t xml:space="preserve">  —  Repair</w:t>
      </w:r>
    </w:p>
    <w:p>
      <w:pPr>
        <w:spacing w:after="120"/>
      </w:pPr>
      <w:r>
        <w:rPr>
          <w:sz w:val="21"/>
          <w:szCs w:val="21"/>
        </w:rPr>
        <w:t xml:space="preserve">Wiederinstandsetzung des Assets durch die LeasNet GmbH oder autorisierte Werkstätten; Reparaturkosten werden gemäß Preisliste angesetzt.</w:t>
      </w:r>
    </w:p>
    <w:p>
      <w:pPr>
        <w:spacing w:after="40" w:before="160"/>
      </w:pPr>
      <w:r>
        <w:rPr>
          <w:b/>
          <w:bCs/>
          <w:color w:val="1A3E75"/>
          <w:sz w:val="22"/>
          <w:szCs w:val="22"/>
        </w:rPr>
        <w:t xml:space="preserve">DM-016  </w:t>
      </w:r>
      <w:r>
        <w:rPr>
          <w:b/>
          <w:bCs/>
          <w:sz w:val="22"/>
          <w:szCs w:val="22"/>
        </w:rPr>
        <w:t xml:space="preserve">Ersatzbeschaffung</w:t>
      </w:r>
      <w:r>
        <w:rPr>
          <w:i/>
          <w:iCs/>
          <w:color w:val="666666"/>
          <w:sz w:val="20"/>
          <w:szCs w:val="20"/>
        </w:rPr>
        <w:t xml:space="preserve">  —  Replacement Procurement</w:t>
      </w:r>
    </w:p>
    <w:p>
      <w:pPr>
        <w:spacing w:after="120"/>
      </w:pPr>
      <w:r>
        <w:rPr>
          <w:sz w:val="21"/>
          <w:szCs w:val="21"/>
        </w:rPr>
        <w:t xml:space="preserve">Beschaffung eines gleichartigen Assets bei Totalverlust; Bewertung nach aktuellem Marktwert unter Berücksichtigung des Alters und Zustands.</w:t>
      </w:r>
    </w:p>
    <w:p>
      <w:pPr>
        <w:spacing w:after="40" w:before="160"/>
      </w:pPr>
      <w:r>
        <w:rPr>
          <w:b/>
          <w:bCs/>
          <w:color w:val="1A3E75"/>
          <w:sz w:val="22"/>
          <w:szCs w:val="22"/>
        </w:rPr>
        <w:t xml:space="preserve">DM-017  </w:t>
      </w:r>
      <w:r>
        <w:rPr>
          <w:b/>
          <w:bCs/>
          <w:sz w:val="22"/>
          <w:szCs w:val="22"/>
        </w:rPr>
        <w:t xml:space="preserve">Wiederbeschaffungswert</w:t>
      </w:r>
      <w:r>
        <w:rPr>
          <w:i/>
          <w:iCs/>
          <w:color w:val="666666"/>
          <w:sz w:val="20"/>
          <w:szCs w:val="20"/>
        </w:rPr>
        <w:t xml:space="preserve">  —  Replacement Value</w:t>
      </w:r>
    </w:p>
    <w:p>
      <w:pPr>
        <w:spacing w:after="120"/>
      </w:pPr>
      <w:r>
        <w:rPr>
          <w:sz w:val="21"/>
          <w:szCs w:val="21"/>
        </w:rPr>
        <w:t xml:space="preserve">Betrag zur Wiederherstellung eines gleichartigen Assets zum Zeitpunkt des Schadensereignisses, unter Abzug angemessener Restwerte.</w:t>
      </w:r>
    </w:p>
    <w:p>
      <w:pPr>
        <w:spacing w:after="40" w:before="160"/>
      </w:pPr>
      <w:r>
        <w:rPr>
          <w:b/>
          <w:bCs/>
          <w:color w:val="1A3E75"/>
          <w:sz w:val="22"/>
          <w:szCs w:val="22"/>
        </w:rPr>
        <w:t xml:space="preserve">DM-018  </w:t>
      </w:r>
      <w:r>
        <w:rPr>
          <w:b/>
          <w:bCs/>
          <w:sz w:val="22"/>
          <w:szCs w:val="22"/>
        </w:rPr>
        <w:t xml:space="preserve">Selbstbeteiligung</w:t>
      </w:r>
      <w:r>
        <w:rPr>
          <w:i/>
          <w:iCs/>
          <w:color w:val="666666"/>
          <w:sz w:val="20"/>
          <w:szCs w:val="20"/>
        </w:rPr>
        <w:t xml:space="preserve">  —  Deductible</w:t>
      </w:r>
    </w:p>
    <w:p>
      <w:pPr>
        <w:spacing w:after="120"/>
      </w:pPr>
      <w:r>
        <w:rPr>
          <w:sz w:val="21"/>
          <w:szCs w:val="21"/>
        </w:rPr>
        <w:t xml:space="preserve">Vom Kunden selbst zu tragender Betrag im Schadensfall, abhängig vom gewählten Schutzpaket.</w:t>
      </w:r>
    </w:p>
    <w:p>
      <w:pPr>
        <w:spacing w:after="40" w:before="160"/>
      </w:pPr>
      <w:r>
        <w:rPr>
          <w:b/>
          <w:bCs/>
          <w:color w:val="1A3E75"/>
          <w:sz w:val="22"/>
          <w:szCs w:val="22"/>
        </w:rPr>
        <w:t xml:space="preserve">DM-019  </w:t>
      </w:r>
      <w:r>
        <w:rPr>
          <w:b/>
          <w:bCs/>
          <w:sz w:val="22"/>
          <w:szCs w:val="22"/>
        </w:rPr>
        <w:t xml:space="preserve">Beweismittel</w:t>
      </w:r>
      <w:r>
        <w:rPr>
          <w:i/>
          <w:iCs/>
          <w:color w:val="666666"/>
          <w:sz w:val="20"/>
          <w:szCs w:val="20"/>
        </w:rPr>
        <w:t xml:space="preserve">  —  Evidence</w:t>
      </w:r>
    </w:p>
    <w:p>
      <w:pPr>
        <w:spacing w:after="120"/>
      </w:pPr>
      <w:r>
        <w:rPr>
          <w:sz w:val="21"/>
          <w:szCs w:val="21"/>
        </w:rPr>
        <w:t xml:space="preserve">Fotos, Messwerte, Video, Prüfprotokolle, Versandbelege und Zeugendaten, die den Zustand und die Historie eines Assets belegen.</w:t>
      </w:r>
    </w:p>
    <w:p>
      <w:pPr>
        <w:spacing w:after="40" w:before="160"/>
      </w:pPr>
      <w:r>
        <w:rPr>
          <w:b/>
          <w:bCs/>
          <w:color w:val="1A3E75"/>
          <w:sz w:val="22"/>
          <w:szCs w:val="22"/>
        </w:rPr>
        <w:t xml:space="preserve">DM-020  </w:t>
      </w:r>
      <w:r>
        <w:rPr>
          <w:b/>
          <w:bCs/>
          <w:sz w:val="22"/>
          <w:szCs w:val="22"/>
        </w:rPr>
        <w:t xml:space="preserve">Foto-Anforderung</w:t>
      </w:r>
      <w:r>
        <w:rPr>
          <w:i/>
          <w:iCs/>
          <w:color w:val="666666"/>
          <w:sz w:val="20"/>
          <w:szCs w:val="20"/>
        </w:rPr>
        <w:t xml:space="preserve">  —  Photo Requirement</w:t>
      </w:r>
    </w:p>
    <w:p>
      <w:pPr>
        <w:spacing w:after="120"/>
      </w:pPr>
      <w:r>
        <w:rPr>
          <w:sz w:val="21"/>
          <w:szCs w:val="21"/>
        </w:rPr>
        <w:t xml:space="preserve">Verpflichtung zur Erstellung standardisierter Fotos bei Warenausgang, Rücksendung und Inspektion; ohne solche Fotos gelten definierte Beweislastregeln.</w:t>
      </w:r>
    </w:p>
    <w:p>
      <w:pPr>
        <w:spacing w:after="40" w:before="160"/>
      </w:pPr>
      <w:r>
        <w:rPr>
          <w:b/>
          <w:bCs/>
          <w:color w:val="1A3E75"/>
          <w:sz w:val="22"/>
          <w:szCs w:val="22"/>
        </w:rPr>
        <w:t xml:space="preserve">DM-021  </w:t>
      </w:r>
      <w:r>
        <w:rPr>
          <w:b/>
          <w:bCs/>
          <w:sz w:val="22"/>
          <w:szCs w:val="22"/>
        </w:rPr>
        <w:t xml:space="preserve">Einwand des Kunden</w:t>
      </w:r>
      <w:r>
        <w:rPr>
          <w:i/>
          <w:iCs/>
          <w:color w:val="666666"/>
          <w:sz w:val="20"/>
          <w:szCs w:val="20"/>
        </w:rPr>
        <w:t xml:space="preserve">  —  Customer Objection</w:t>
      </w:r>
    </w:p>
    <w:p>
      <w:pPr>
        <w:spacing w:after="120"/>
      </w:pPr>
      <w:r>
        <w:rPr>
          <w:sz w:val="21"/>
          <w:szCs w:val="21"/>
        </w:rPr>
        <w:t xml:space="preserve">Formeller Widerspruch des Kunden gegen einen im Inspektionsbericht dokumentierten Schaden oder eine Kostenaufstellung.</w:t>
      </w:r>
    </w:p>
    <w:p>
      <w:pPr>
        <w:spacing w:after="40" w:before="160"/>
      </w:pPr>
      <w:r>
        <w:rPr>
          <w:b/>
          <w:bCs/>
          <w:color w:val="1A3E75"/>
          <w:sz w:val="22"/>
          <w:szCs w:val="22"/>
        </w:rPr>
        <w:t xml:space="preserve">DM-022  </w:t>
      </w:r>
      <w:r>
        <w:rPr>
          <w:b/>
          <w:bCs/>
          <w:sz w:val="22"/>
          <w:szCs w:val="22"/>
        </w:rPr>
        <w:t xml:space="preserve">Einwand des Vendors</w:t>
      </w:r>
      <w:r>
        <w:rPr>
          <w:i/>
          <w:iCs/>
          <w:color w:val="666666"/>
          <w:sz w:val="20"/>
          <w:szCs w:val="20"/>
        </w:rPr>
        <w:t xml:space="preserve">  —  Vendor Objection</w:t>
      </w:r>
    </w:p>
    <w:p>
      <w:pPr>
        <w:spacing w:after="120"/>
      </w:pPr>
      <w:r>
        <w:rPr>
          <w:sz w:val="21"/>
          <w:szCs w:val="21"/>
        </w:rPr>
        <w:t xml:space="preserve">Widerspruch des Vendors gegen eine plattformseitige Entscheidung im Schadens- oder Kautionsfall.</w:t>
      </w:r>
    </w:p>
    <w:p>
      <w:pPr>
        <w:spacing w:after="40" w:before="160"/>
      </w:pPr>
      <w:r>
        <w:rPr>
          <w:b/>
          <w:bCs/>
          <w:color w:val="1A3E75"/>
          <w:sz w:val="22"/>
          <w:szCs w:val="22"/>
        </w:rPr>
        <w:t xml:space="preserve">DM-023  </w:t>
      </w:r>
      <w:r>
        <w:rPr>
          <w:b/>
          <w:bCs/>
          <w:sz w:val="22"/>
          <w:szCs w:val="22"/>
        </w:rPr>
        <w:t xml:space="preserve">Schadensentscheidung</w:t>
      </w:r>
      <w:r>
        <w:rPr>
          <w:i/>
          <w:iCs/>
          <w:color w:val="666666"/>
          <w:sz w:val="20"/>
          <w:szCs w:val="20"/>
        </w:rPr>
        <w:t xml:space="preserve">  —  Damage Decision</w:t>
      </w:r>
    </w:p>
    <w:p>
      <w:pPr>
        <w:spacing w:after="120"/>
      </w:pPr>
      <w:r>
        <w:rPr>
          <w:sz w:val="21"/>
          <w:szCs w:val="21"/>
        </w:rPr>
        <w:t xml:space="preserve">Verbindliche Feststellung durch die Plattform (im Marketplace) oder die LeasNet GmbH (im Direct-Rental), welcher Betrag dem Kunden angelastet wird.</w:t>
      </w:r>
    </w:p>
    <w:p>
      <w:pPr>
        <w:spacing w:after="40" w:before="160"/>
      </w:pPr>
      <w:r>
        <w:rPr>
          <w:b/>
          <w:bCs/>
          <w:color w:val="1A3E75"/>
          <w:sz w:val="22"/>
          <w:szCs w:val="22"/>
        </w:rPr>
        <w:t xml:space="preserve">DM-024  </w:t>
      </w:r>
      <w:r>
        <w:rPr>
          <w:b/>
          <w:bCs/>
          <w:sz w:val="22"/>
          <w:szCs w:val="22"/>
        </w:rPr>
        <w:t xml:space="preserve">Schadensbericht</w:t>
      </w:r>
      <w:r>
        <w:rPr>
          <w:i/>
          <w:iCs/>
          <w:color w:val="666666"/>
          <w:sz w:val="20"/>
          <w:szCs w:val="20"/>
        </w:rPr>
        <w:t xml:space="preserve">  —  Damage Report</w:t>
      </w:r>
    </w:p>
    <w:p>
      <w:pPr>
        <w:spacing w:after="120"/>
      </w:pPr>
      <w:r>
        <w:rPr>
          <w:sz w:val="21"/>
          <w:szCs w:val="21"/>
        </w:rPr>
        <w:t xml:space="preserve">Zusammenfassendes Dokument mit festgestelltem Schaden, Bewertung, Beweismitteln, angerechneten Kautionen und offenem Forderungssaldo.</w:t>
      </w:r>
    </w:p>
    <w:p>
      <w:pPr>
        <w:pStyle w:val="Heading2"/>
      </w:pPr>
      <w:r>
        <w:t xml:space="preserve">WH · Lager &amp; Fulfillment</w:t>
      </w:r>
    </w:p>
    <w:p>
      <w:pPr>
        <w:spacing w:after="40" w:before="160"/>
      </w:pPr>
      <w:r>
        <w:rPr>
          <w:b/>
          <w:bCs/>
          <w:color w:val="1A3E75"/>
          <w:sz w:val="22"/>
          <w:szCs w:val="22"/>
        </w:rPr>
        <w:t xml:space="preserve">WH-001  </w:t>
      </w:r>
      <w:r>
        <w:rPr>
          <w:b/>
          <w:bCs/>
          <w:sz w:val="22"/>
          <w:szCs w:val="22"/>
        </w:rPr>
        <w:t xml:space="preserve">Warehouse-Standort</w:t>
      </w:r>
      <w:r>
        <w:rPr>
          <w:i/>
          <w:iCs/>
          <w:color w:val="666666"/>
          <w:sz w:val="20"/>
          <w:szCs w:val="20"/>
        </w:rPr>
        <w:t xml:space="preserve">  —  Warehouse Location</w:t>
      </w:r>
    </w:p>
    <w:p>
      <w:pPr>
        <w:spacing w:after="120"/>
      </w:pPr>
      <w:r>
        <w:rPr>
          <w:sz w:val="21"/>
          <w:szCs w:val="21"/>
        </w:rPr>
        <w:t xml:space="preserve">Physischer Standort, an dem Assets gelagert, geprüft, aufbereitet und versandt werden.</w:t>
      </w:r>
    </w:p>
    <w:p>
      <w:pPr>
        <w:spacing w:after="40" w:before="160"/>
      </w:pPr>
      <w:r>
        <w:rPr>
          <w:b/>
          <w:bCs/>
          <w:color w:val="1A3E75"/>
          <w:sz w:val="22"/>
          <w:szCs w:val="22"/>
        </w:rPr>
        <w:t xml:space="preserve">WH-002  </w:t>
      </w:r>
      <w:r>
        <w:rPr>
          <w:b/>
          <w:bCs/>
          <w:sz w:val="22"/>
          <w:szCs w:val="22"/>
        </w:rPr>
        <w:t xml:space="preserve">Lagerplatz</w:t>
      </w:r>
      <w:r>
        <w:rPr>
          <w:i/>
          <w:iCs/>
          <w:color w:val="666666"/>
          <w:sz w:val="20"/>
          <w:szCs w:val="20"/>
        </w:rPr>
        <w:t xml:space="preserve">  —  Storage Bin</w:t>
      </w:r>
    </w:p>
    <w:p>
      <w:pPr>
        <w:spacing w:after="120"/>
      </w:pPr>
      <w:r>
        <w:rPr>
          <w:sz w:val="21"/>
          <w:szCs w:val="21"/>
        </w:rPr>
        <w:t xml:space="preserve">Definierte Position innerhalb eines Warehouse-Standorts zur eindeutigen Zuordnung eines Assets.</w:t>
      </w:r>
    </w:p>
    <w:p>
      <w:pPr>
        <w:spacing w:after="40" w:before="160"/>
      </w:pPr>
      <w:r>
        <w:rPr>
          <w:b/>
          <w:bCs/>
          <w:color w:val="1A3E75"/>
          <w:sz w:val="22"/>
          <w:szCs w:val="22"/>
        </w:rPr>
        <w:t xml:space="preserve">WH-003  </w:t>
      </w:r>
      <w:r>
        <w:rPr>
          <w:b/>
          <w:bCs/>
          <w:sz w:val="22"/>
          <w:szCs w:val="22"/>
        </w:rPr>
        <w:t xml:space="preserve">Wareneingang</w:t>
      </w:r>
      <w:r>
        <w:rPr>
          <w:i/>
          <w:iCs/>
          <w:color w:val="666666"/>
          <w:sz w:val="20"/>
          <w:szCs w:val="20"/>
        </w:rPr>
        <w:t xml:space="preserve">  —  Goods Receipt</w:t>
      </w:r>
    </w:p>
    <w:p>
      <w:pPr>
        <w:spacing w:after="120"/>
      </w:pPr>
      <w:r>
        <w:rPr>
          <w:sz w:val="21"/>
          <w:szCs w:val="21"/>
        </w:rPr>
        <w:t xml:space="preserve">Vorgang der Annahme eines Assets im Warehouse, einschließlich Identitätsprüfung und Zustandsaufnahme.</w:t>
      </w:r>
    </w:p>
    <w:p>
      <w:pPr>
        <w:spacing w:after="40" w:before="160"/>
      </w:pPr>
      <w:r>
        <w:rPr>
          <w:b/>
          <w:bCs/>
          <w:color w:val="1A3E75"/>
          <w:sz w:val="22"/>
          <w:szCs w:val="22"/>
        </w:rPr>
        <w:t xml:space="preserve">WH-004  </w:t>
      </w:r>
      <w:r>
        <w:rPr>
          <w:b/>
          <w:bCs/>
          <w:sz w:val="22"/>
          <w:szCs w:val="22"/>
        </w:rPr>
        <w:t xml:space="preserve">Warenausgang</w:t>
      </w:r>
      <w:r>
        <w:rPr>
          <w:i/>
          <w:iCs/>
          <w:color w:val="666666"/>
          <w:sz w:val="20"/>
          <w:szCs w:val="20"/>
        </w:rPr>
        <w:t xml:space="preserve">  —  Goods Issue</w:t>
      </w:r>
    </w:p>
    <w:p>
      <w:pPr>
        <w:spacing w:after="120"/>
      </w:pPr>
      <w:r>
        <w:rPr>
          <w:sz w:val="21"/>
          <w:szCs w:val="21"/>
        </w:rPr>
        <w:t xml:space="preserve">Vorgang der Freigabe eines Assets aus dem Warehouse zur Übergabe an den Kunden oder Versanddienstleister.</w:t>
      </w:r>
    </w:p>
    <w:p>
      <w:pPr>
        <w:spacing w:after="40" w:before="160"/>
      </w:pPr>
      <w:r>
        <w:rPr>
          <w:b/>
          <w:bCs/>
          <w:color w:val="1A3E75"/>
          <w:sz w:val="22"/>
          <w:szCs w:val="22"/>
        </w:rPr>
        <w:t xml:space="preserve">WH-005  </w:t>
      </w:r>
      <w:r>
        <w:rPr>
          <w:b/>
          <w:bCs/>
          <w:sz w:val="22"/>
          <w:szCs w:val="22"/>
        </w:rPr>
        <w:t xml:space="preserve">Kommissionierung</w:t>
      </w:r>
      <w:r>
        <w:rPr>
          <w:i/>
          <w:iCs/>
          <w:color w:val="666666"/>
          <w:sz w:val="20"/>
          <w:szCs w:val="20"/>
        </w:rPr>
        <w:t xml:space="preserve">  —  Picking</w:t>
      </w:r>
    </w:p>
    <w:p>
      <w:pPr>
        <w:spacing w:after="120"/>
      </w:pPr>
      <w:r>
        <w:rPr>
          <w:sz w:val="21"/>
          <w:szCs w:val="21"/>
        </w:rPr>
        <w:t xml:space="preserve">Zusammenstellung der zu einem Mietvorgang gehörenden Assets und Zubehöre.</w:t>
      </w:r>
    </w:p>
    <w:p>
      <w:pPr>
        <w:spacing w:after="40" w:before="160"/>
      </w:pPr>
      <w:r>
        <w:rPr>
          <w:b/>
          <w:bCs/>
          <w:color w:val="1A3E75"/>
          <w:sz w:val="22"/>
          <w:szCs w:val="22"/>
        </w:rPr>
        <w:t xml:space="preserve">WH-006  </w:t>
      </w:r>
      <w:r>
        <w:rPr>
          <w:b/>
          <w:bCs/>
          <w:sz w:val="22"/>
          <w:szCs w:val="22"/>
        </w:rPr>
        <w:t xml:space="preserve">Verpackung (Prozess)</w:t>
      </w:r>
      <w:r>
        <w:rPr>
          <w:i/>
          <w:iCs/>
          <w:color w:val="666666"/>
          <w:sz w:val="20"/>
          <w:szCs w:val="20"/>
        </w:rPr>
        <w:t xml:space="preserve">  —  Packing</w:t>
      </w:r>
    </w:p>
    <w:p>
      <w:pPr>
        <w:spacing w:after="120"/>
      </w:pPr>
      <w:r>
        <w:rPr>
          <w:sz w:val="21"/>
          <w:szCs w:val="21"/>
        </w:rPr>
        <w:t xml:space="preserve">Vorbereitung des Assets für den Versand einschließlich Schutzverpackung, Beilagen und Versandetikett.</w:t>
      </w:r>
    </w:p>
    <w:p>
      <w:pPr>
        <w:spacing w:after="40" w:before="160"/>
      </w:pPr>
      <w:r>
        <w:rPr>
          <w:b/>
          <w:bCs/>
          <w:color w:val="1A3E75"/>
          <w:sz w:val="22"/>
          <w:szCs w:val="22"/>
        </w:rPr>
        <w:t xml:space="preserve">WH-007  </w:t>
      </w:r>
      <w:r>
        <w:rPr>
          <w:b/>
          <w:bCs/>
          <w:sz w:val="22"/>
          <w:szCs w:val="22"/>
        </w:rPr>
        <w:t xml:space="preserve">Reinigung</w:t>
      </w:r>
      <w:r>
        <w:rPr>
          <w:i/>
          <w:iCs/>
          <w:color w:val="666666"/>
          <w:sz w:val="20"/>
          <w:szCs w:val="20"/>
        </w:rPr>
        <w:t xml:space="preserve">  —  Cleaning</w:t>
      </w:r>
    </w:p>
    <w:p>
      <w:pPr>
        <w:spacing w:after="120"/>
      </w:pPr>
      <w:r>
        <w:rPr>
          <w:sz w:val="21"/>
          <w:szCs w:val="21"/>
        </w:rPr>
        <w:t xml:space="preserve">Standardisierte Reinigung des Assets nach Rückgabe entsprechend Produktkategorie und Hygieneanforderung.</w:t>
      </w:r>
    </w:p>
    <w:p>
      <w:pPr>
        <w:spacing w:after="40" w:before="160"/>
      </w:pPr>
      <w:r>
        <w:rPr>
          <w:b/>
          <w:bCs/>
          <w:color w:val="1A3E75"/>
          <w:sz w:val="22"/>
          <w:szCs w:val="22"/>
        </w:rPr>
        <w:t xml:space="preserve">WH-008  </w:t>
      </w:r>
      <w:r>
        <w:rPr>
          <w:b/>
          <w:bCs/>
          <w:sz w:val="22"/>
          <w:szCs w:val="22"/>
        </w:rPr>
        <w:t xml:space="preserve">Aufbereitung</w:t>
      </w:r>
      <w:r>
        <w:rPr>
          <w:i/>
          <w:iCs/>
          <w:color w:val="666666"/>
          <w:sz w:val="20"/>
          <w:szCs w:val="20"/>
        </w:rPr>
        <w:t xml:space="preserve">  —  Refurbishment</w:t>
      </w:r>
    </w:p>
    <w:p>
      <w:pPr>
        <w:spacing w:after="120"/>
      </w:pPr>
      <w:r>
        <w:rPr>
          <w:sz w:val="21"/>
          <w:szCs w:val="21"/>
        </w:rPr>
        <w:t xml:space="preserve">Wiederherstellung des vermietfähigen Zustands eines Assets, ggf. inklusive kleiner Reparaturen.</w:t>
      </w:r>
    </w:p>
    <w:p>
      <w:pPr>
        <w:spacing w:after="40" w:before="160"/>
      </w:pPr>
      <w:r>
        <w:rPr>
          <w:b/>
          <w:bCs/>
          <w:color w:val="1A3E75"/>
          <w:sz w:val="22"/>
          <w:szCs w:val="22"/>
        </w:rPr>
        <w:t xml:space="preserve">WH-009  </w:t>
      </w:r>
      <w:r>
        <w:rPr>
          <w:b/>
          <w:bCs/>
          <w:sz w:val="22"/>
          <w:szCs w:val="22"/>
        </w:rPr>
        <w:t xml:space="preserve">Bestandstransfer</w:t>
      </w:r>
      <w:r>
        <w:rPr>
          <w:i/>
          <w:iCs/>
          <w:color w:val="666666"/>
          <w:sz w:val="20"/>
          <w:szCs w:val="20"/>
        </w:rPr>
        <w:t xml:space="preserve">  —  Inventory Transfer</w:t>
      </w:r>
    </w:p>
    <w:p>
      <w:pPr>
        <w:spacing w:after="120"/>
      </w:pPr>
      <w:r>
        <w:rPr>
          <w:sz w:val="21"/>
          <w:szCs w:val="21"/>
        </w:rPr>
        <w:t xml:space="preserve">Umbuchung eines Assets zwischen Warehouse-Standorten.</w:t>
      </w:r>
    </w:p>
    <w:p>
      <w:pPr>
        <w:spacing w:after="40" w:before="160"/>
      </w:pPr>
      <w:r>
        <w:rPr>
          <w:b/>
          <w:bCs/>
          <w:color w:val="1A3E75"/>
          <w:sz w:val="22"/>
          <w:szCs w:val="22"/>
        </w:rPr>
        <w:t xml:space="preserve">WH-010  </w:t>
      </w:r>
      <w:r>
        <w:rPr>
          <w:b/>
          <w:bCs/>
          <w:sz w:val="22"/>
          <w:szCs w:val="22"/>
        </w:rPr>
        <w:t xml:space="preserve">Aussonderung</w:t>
      </w:r>
      <w:r>
        <w:rPr>
          <w:i/>
          <w:iCs/>
          <w:color w:val="666666"/>
          <w:sz w:val="20"/>
          <w:szCs w:val="20"/>
        </w:rPr>
        <w:t xml:space="preserve">  —  Retirement</w:t>
      </w:r>
    </w:p>
    <w:p>
      <w:pPr>
        <w:spacing w:after="120"/>
      </w:pPr>
      <w:r>
        <w:rPr>
          <w:sz w:val="21"/>
          <w:szCs w:val="21"/>
        </w:rPr>
        <w:t xml:space="preserve">Endgültige Entfernung eines Assets aus dem Mietbestand aufgrund Alters, Zustands oder wirtschaftlicher Erwägungen.</w:t>
      </w:r>
    </w:p>
    <w:p>
      <w:pPr>
        <w:spacing w:after="40" w:before="160"/>
      </w:pPr>
      <w:r>
        <w:rPr>
          <w:b/>
          <w:bCs/>
          <w:color w:val="1A3E75"/>
          <w:sz w:val="22"/>
          <w:szCs w:val="22"/>
        </w:rPr>
        <w:t xml:space="preserve">WH-011  </w:t>
      </w:r>
      <w:r>
        <w:rPr>
          <w:b/>
          <w:bCs/>
          <w:sz w:val="22"/>
          <w:szCs w:val="22"/>
        </w:rPr>
        <w:t xml:space="preserve">Verkauf</w:t>
      </w:r>
      <w:r>
        <w:rPr>
          <w:i/>
          <w:iCs/>
          <w:color w:val="666666"/>
          <w:sz w:val="20"/>
          <w:szCs w:val="20"/>
        </w:rPr>
        <w:t xml:space="preserve">  —  Sale</w:t>
      </w:r>
    </w:p>
    <w:p>
      <w:pPr>
        <w:spacing w:after="120"/>
      </w:pPr>
      <w:r>
        <w:rPr>
          <w:sz w:val="21"/>
          <w:szCs w:val="21"/>
        </w:rPr>
        <w:t xml:space="preserve">Veräußerung eines ausgesonderten Assets auf einem geeigneten Kanal, ggf. als „refurbished“.</w:t>
      </w:r>
    </w:p>
    <w:p>
      <w:pPr>
        <w:spacing w:after="40" w:before="160"/>
      </w:pPr>
      <w:r>
        <w:rPr>
          <w:b/>
          <w:bCs/>
          <w:color w:val="1A3E75"/>
          <w:sz w:val="22"/>
          <w:szCs w:val="22"/>
        </w:rPr>
        <w:t xml:space="preserve">WH-012  </w:t>
      </w:r>
      <w:r>
        <w:rPr>
          <w:b/>
          <w:bCs/>
          <w:sz w:val="22"/>
          <w:szCs w:val="22"/>
        </w:rPr>
        <w:t xml:space="preserve">Entsorgung</w:t>
      </w:r>
      <w:r>
        <w:rPr>
          <w:i/>
          <w:iCs/>
          <w:color w:val="666666"/>
          <w:sz w:val="20"/>
          <w:szCs w:val="20"/>
        </w:rPr>
        <w:t xml:space="preserve">  —  Disposal</w:t>
      </w:r>
    </w:p>
    <w:p>
      <w:pPr>
        <w:spacing w:after="120"/>
      </w:pPr>
      <w:r>
        <w:rPr>
          <w:sz w:val="21"/>
          <w:szCs w:val="21"/>
        </w:rPr>
        <w:t xml:space="preserve">Umweltgerechte Verwertung oder Entsorgung nicht mehr verkaufsfähiger Assets gemäß den einschlägigen Vorschriften (u. a. ElektroG, BattG).</w:t>
      </w:r>
    </w:p>
    <w:p>
      <w:pPr>
        <w:spacing w:after="40" w:before="160"/>
      </w:pPr>
      <w:r>
        <w:rPr>
          <w:b/>
          <w:bCs/>
          <w:color w:val="1A3E75"/>
          <w:sz w:val="22"/>
          <w:szCs w:val="22"/>
        </w:rPr>
        <w:t xml:space="preserve">WH-013  </w:t>
      </w:r>
      <w:r>
        <w:rPr>
          <w:b/>
          <w:bCs/>
          <w:sz w:val="22"/>
          <w:szCs w:val="22"/>
        </w:rPr>
        <w:t xml:space="preserve">Bestandszählung</w:t>
      </w:r>
      <w:r>
        <w:rPr>
          <w:i/>
          <w:iCs/>
          <w:color w:val="666666"/>
          <w:sz w:val="20"/>
          <w:szCs w:val="20"/>
        </w:rPr>
        <w:t xml:space="preserve">  —  Stock Take</w:t>
      </w:r>
    </w:p>
    <w:p>
      <w:pPr>
        <w:spacing w:after="120"/>
      </w:pPr>
      <w:r>
        <w:rPr>
          <w:sz w:val="21"/>
          <w:szCs w:val="21"/>
        </w:rPr>
        <w:t xml:space="preserve">Regelmäßige oder anlassbezogene Zählung des Bestands zur Abgleichung mit dem Buchbestand.</w:t>
      </w:r>
    </w:p>
    <w:p>
      <w:pPr>
        <w:spacing w:after="40" w:before="160"/>
      </w:pPr>
      <w:r>
        <w:rPr>
          <w:b/>
          <w:bCs/>
          <w:color w:val="1A3E75"/>
          <w:sz w:val="22"/>
          <w:szCs w:val="22"/>
        </w:rPr>
        <w:t xml:space="preserve">WH-014  </w:t>
      </w:r>
      <w:r>
        <w:rPr>
          <w:b/>
          <w:bCs/>
          <w:sz w:val="22"/>
          <w:szCs w:val="22"/>
        </w:rPr>
        <w:t xml:space="preserve">Rücktransport</w:t>
      </w:r>
      <w:r>
        <w:rPr>
          <w:i/>
          <w:iCs/>
          <w:color w:val="666666"/>
          <w:sz w:val="20"/>
          <w:szCs w:val="20"/>
        </w:rPr>
        <w:t xml:space="preserve">  —  Return Transport</w:t>
      </w:r>
    </w:p>
    <w:p>
      <w:pPr>
        <w:spacing w:after="120"/>
      </w:pPr>
      <w:r>
        <w:rPr>
          <w:sz w:val="21"/>
          <w:szCs w:val="21"/>
        </w:rPr>
        <w:t xml:space="preserve">Von der Plattform organisierter Transport des Assets vom Kunden zurück ins Warehouse.</w:t>
      </w:r>
    </w:p>
    <w:p>
      <w:pPr>
        <w:spacing w:after="40" w:before="160"/>
      </w:pPr>
      <w:r>
        <w:rPr>
          <w:b/>
          <w:bCs/>
          <w:color w:val="1A3E75"/>
          <w:sz w:val="22"/>
          <w:szCs w:val="22"/>
        </w:rPr>
        <w:t xml:space="preserve">WH-015  </w:t>
      </w:r>
      <w:r>
        <w:rPr>
          <w:b/>
          <w:bCs/>
          <w:sz w:val="22"/>
          <w:szCs w:val="22"/>
        </w:rPr>
        <w:t xml:space="preserve">Versandetikett</w:t>
      </w:r>
      <w:r>
        <w:rPr>
          <w:i/>
          <w:iCs/>
          <w:color w:val="666666"/>
          <w:sz w:val="20"/>
          <w:szCs w:val="20"/>
        </w:rPr>
        <w:t xml:space="preserve">  —  Shipping Label</w:t>
      </w:r>
    </w:p>
    <w:p>
      <w:pPr>
        <w:spacing w:after="120"/>
      </w:pPr>
      <w:r>
        <w:rPr>
          <w:sz w:val="21"/>
          <w:szCs w:val="21"/>
        </w:rPr>
        <w:t xml:space="preserve">Von der Plattform bereitgestelltes Versandetikett, das der Kunde für den Rückversand verwenden muss, sofern nicht anders vereinbart.</w:t>
      </w:r>
    </w:p>
    <w:p>
      <w:pPr>
        <w:spacing w:after="40" w:before="160"/>
      </w:pPr>
      <w:r>
        <w:rPr>
          <w:b/>
          <w:bCs/>
          <w:color w:val="1A3E75"/>
          <w:sz w:val="22"/>
          <w:szCs w:val="22"/>
        </w:rPr>
        <w:t xml:space="preserve">WH-016  </w:t>
      </w:r>
      <w:r>
        <w:rPr>
          <w:b/>
          <w:bCs/>
          <w:sz w:val="22"/>
          <w:szCs w:val="22"/>
        </w:rPr>
        <w:t xml:space="preserve">Inbound-Fenster</w:t>
      </w:r>
      <w:r>
        <w:rPr>
          <w:i/>
          <w:iCs/>
          <w:color w:val="666666"/>
          <w:sz w:val="20"/>
          <w:szCs w:val="20"/>
        </w:rPr>
        <w:t xml:space="preserve">  —  Inbound Window</w:t>
      </w:r>
    </w:p>
    <w:p>
      <w:pPr>
        <w:spacing w:after="120"/>
      </w:pPr>
      <w:r>
        <w:rPr>
          <w:sz w:val="21"/>
          <w:szCs w:val="21"/>
        </w:rPr>
        <w:t xml:space="preserve">Vorgegebener Zeitraum, innerhalb dessen eine Rücksendung im Warehouse eingehen und angenommen wird.</w:t>
      </w:r>
    </w:p>
    <w:p>
      <w:pPr>
        <w:spacing w:after="40" w:before="160"/>
      </w:pPr>
      <w:r>
        <w:rPr>
          <w:b/>
          <w:bCs/>
          <w:color w:val="1A3E75"/>
          <w:sz w:val="22"/>
          <w:szCs w:val="22"/>
        </w:rPr>
        <w:t xml:space="preserve">WH-017  </w:t>
      </w:r>
      <w:r>
        <w:rPr>
          <w:b/>
          <w:bCs/>
          <w:sz w:val="22"/>
          <w:szCs w:val="22"/>
        </w:rPr>
        <w:t xml:space="preserve">Warenverantwortung</w:t>
      </w:r>
      <w:r>
        <w:rPr>
          <w:i/>
          <w:iCs/>
          <w:color w:val="666666"/>
          <w:sz w:val="20"/>
          <w:szCs w:val="20"/>
        </w:rPr>
        <w:t xml:space="preserve">  —  Custody Responsibility</w:t>
      </w:r>
    </w:p>
    <w:p>
      <w:pPr>
        <w:spacing w:after="120"/>
      </w:pPr>
      <w:r>
        <w:rPr>
          <w:sz w:val="21"/>
          <w:szCs w:val="21"/>
        </w:rPr>
        <w:t xml:space="preserve">Zuordnung, welche Partei zu welchem Zeitpunkt die Sachherrschaft und Verantwortung über das Asset trägt.</w:t>
      </w:r>
    </w:p>
    <w:p>
      <w:pPr>
        <w:spacing w:after="40" w:before="160"/>
      </w:pPr>
      <w:r>
        <w:rPr>
          <w:b/>
          <w:bCs/>
          <w:color w:val="1A3E75"/>
          <w:sz w:val="22"/>
          <w:szCs w:val="22"/>
        </w:rPr>
        <w:t xml:space="preserve">WH-018  </w:t>
      </w:r>
      <w:r>
        <w:rPr>
          <w:b/>
          <w:bCs/>
          <w:sz w:val="22"/>
          <w:szCs w:val="22"/>
        </w:rPr>
        <w:t xml:space="preserve">Übergabezeitpunkt</w:t>
      </w:r>
      <w:r>
        <w:rPr>
          <w:i/>
          <w:iCs/>
          <w:color w:val="666666"/>
          <w:sz w:val="20"/>
          <w:szCs w:val="20"/>
        </w:rPr>
        <w:t xml:space="preserve">  —  Handover Point</w:t>
      </w:r>
    </w:p>
    <w:p>
      <w:pPr>
        <w:spacing w:after="120"/>
      </w:pPr>
      <w:r>
        <w:rPr>
          <w:sz w:val="21"/>
          <w:szCs w:val="21"/>
        </w:rPr>
        <w:t xml:space="preserve">Der Zeitpunkt, ab dem die Sachherrschaft und Gefahrtragung auf den Kunden bzw. zurück auf den Vermieter übergeht.</w:t>
      </w:r>
    </w:p>
    <w:p>
      <w:pPr>
        <w:pStyle w:val="Heading2"/>
      </w:pPr>
      <w:r>
        <w:t xml:space="preserve">ID · Identität, KYC &amp; Verifikation</w:t>
      </w:r>
    </w:p>
    <w:p>
      <w:pPr>
        <w:spacing w:after="40" w:before="160"/>
      </w:pPr>
      <w:r>
        <w:rPr>
          <w:b/>
          <w:bCs/>
          <w:color w:val="1A3E75"/>
          <w:sz w:val="22"/>
          <w:szCs w:val="22"/>
        </w:rPr>
        <w:t xml:space="preserve">ID-001  </w:t>
      </w:r>
      <w:r>
        <w:rPr>
          <w:b/>
          <w:bCs/>
          <w:sz w:val="22"/>
          <w:szCs w:val="22"/>
        </w:rPr>
        <w:t xml:space="preserve">Konto</w:t>
      </w:r>
      <w:r>
        <w:rPr>
          <w:i/>
          <w:iCs/>
          <w:color w:val="666666"/>
          <w:sz w:val="20"/>
          <w:szCs w:val="20"/>
        </w:rPr>
        <w:t xml:space="preserve">  —  Account</w:t>
      </w:r>
    </w:p>
    <w:p>
      <w:pPr>
        <w:spacing w:after="120"/>
      </w:pPr>
      <w:r>
        <w:rPr>
          <w:sz w:val="21"/>
          <w:szCs w:val="21"/>
        </w:rPr>
        <w:t xml:space="preserve">Nutzergebundene digitale Kennung mit Anmeldedaten, zugeordneten Rollen und Rechten.</w:t>
      </w:r>
    </w:p>
    <w:p>
      <w:pPr>
        <w:spacing w:after="40" w:before="160"/>
      </w:pPr>
      <w:r>
        <w:rPr>
          <w:b/>
          <w:bCs/>
          <w:color w:val="1A3E75"/>
          <w:sz w:val="22"/>
          <w:szCs w:val="22"/>
        </w:rPr>
        <w:t xml:space="preserve">ID-002  </w:t>
      </w:r>
      <w:r>
        <w:rPr>
          <w:b/>
          <w:bCs/>
          <w:sz w:val="22"/>
          <w:szCs w:val="22"/>
        </w:rPr>
        <w:t xml:space="preserve">Konto-Verifikation</w:t>
      </w:r>
      <w:r>
        <w:rPr>
          <w:i/>
          <w:iCs/>
          <w:color w:val="666666"/>
          <w:sz w:val="20"/>
          <w:szCs w:val="20"/>
        </w:rPr>
        <w:t xml:space="preserve">  —  Account Verification</w:t>
      </w:r>
    </w:p>
    <w:p>
      <w:pPr>
        <w:spacing w:after="120"/>
      </w:pPr>
      <w:r>
        <w:rPr>
          <w:sz w:val="21"/>
          <w:szCs w:val="21"/>
        </w:rPr>
        <w:t xml:space="preserve">Bestätigung der Existenz und Kontaktierbarkeit eines Nutzers per E-Mail und optional Mobilnummer.</w:t>
      </w:r>
    </w:p>
    <w:p>
      <w:pPr>
        <w:spacing w:after="40" w:before="160"/>
      </w:pPr>
      <w:r>
        <w:rPr>
          <w:b/>
          <w:bCs/>
          <w:color w:val="1A3E75"/>
          <w:sz w:val="22"/>
          <w:szCs w:val="22"/>
        </w:rPr>
        <w:t xml:space="preserve">ID-003  </w:t>
      </w:r>
      <w:r>
        <w:rPr>
          <w:b/>
          <w:bCs/>
          <w:sz w:val="22"/>
          <w:szCs w:val="22"/>
        </w:rPr>
        <w:t xml:space="preserve">Identitätsprüfung</w:t>
      </w:r>
      <w:r>
        <w:rPr>
          <w:i/>
          <w:iCs/>
          <w:color w:val="666666"/>
          <w:sz w:val="20"/>
          <w:szCs w:val="20"/>
        </w:rPr>
        <w:t xml:space="preserve">  —  Identity Verification</w:t>
      </w:r>
    </w:p>
    <w:p>
      <w:pPr>
        <w:spacing w:after="120"/>
      </w:pPr>
      <w:r>
        <w:rPr>
          <w:sz w:val="21"/>
          <w:szCs w:val="21"/>
        </w:rPr>
        <w:t xml:space="preserve">Nachweis der Identität einer natürlichen Person mittels amtlichen Ausweisdokuments und Lebendigkeitsprüfung durch einen zugelassenen Anbieter.</w:t>
      </w:r>
    </w:p>
    <w:p>
      <w:pPr>
        <w:spacing w:after="40" w:before="160"/>
      </w:pPr>
      <w:r>
        <w:rPr>
          <w:b/>
          <w:bCs/>
          <w:color w:val="1A3E75"/>
          <w:sz w:val="22"/>
          <w:szCs w:val="22"/>
        </w:rPr>
        <w:t xml:space="preserve">ID-004  </w:t>
      </w:r>
      <w:r>
        <w:rPr>
          <w:b/>
          <w:bCs/>
          <w:sz w:val="22"/>
          <w:szCs w:val="22"/>
        </w:rPr>
        <w:t xml:space="preserve">Alter-Verifikation</w:t>
      </w:r>
      <w:r>
        <w:rPr>
          <w:i/>
          <w:iCs/>
          <w:color w:val="666666"/>
          <w:sz w:val="20"/>
          <w:szCs w:val="20"/>
        </w:rPr>
        <w:t xml:space="preserve">  —  Age Verification</w:t>
      </w:r>
    </w:p>
    <w:p>
      <w:pPr>
        <w:spacing w:after="120"/>
      </w:pPr>
      <w:r>
        <w:rPr>
          <w:sz w:val="21"/>
          <w:szCs w:val="21"/>
        </w:rPr>
        <w:t xml:space="preserve">Nachweis der Volljährigkeit; Voraussetzung für die Nutzung bestimmter Produkte oder Zahlungsarten.</w:t>
      </w:r>
    </w:p>
    <w:p>
      <w:pPr>
        <w:spacing w:after="40" w:before="160"/>
      </w:pPr>
      <w:r>
        <w:rPr>
          <w:b/>
          <w:bCs/>
          <w:color w:val="1A3E75"/>
          <w:sz w:val="22"/>
          <w:szCs w:val="22"/>
        </w:rPr>
        <w:t xml:space="preserve">ID-005  </w:t>
      </w:r>
      <w:r>
        <w:rPr>
          <w:b/>
          <w:bCs/>
          <w:sz w:val="22"/>
          <w:szCs w:val="22"/>
        </w:rPr>
        <w:t xml:space="preserve">Bonitätsprüfung</w:t>
      </w:r>
      <w:r>
        <w:rPr>
          <w:i/>
          <w:iCs/>
          <w:color w:val="666666"/>
          <w:sz w:val="20"/>
          <w:szCs w:val="20"/>
        </w:rPr>
        <w:t xml:space="preserve">  —  Credit Check</w:t>
      </w:r>
    </w:p>
    <w:p>
      <w:pPr>
        <w:spacing w:after="120"/>
      </w:pPr>
      <w:r>
        <w:rPr>
          <w:sz w:val="21"/>
          <w:szCs w:val="21"/>
        </w:rPr>
        <w:t xml:space="preserve">Prüfung der Zahlungsfähigkeit über einen zugelassenen Auskunftsdienst; Grundlage für Kautions- und Kreditlimits.</w:t>
      </w:r>
    </w:p>
    <w:p>
      <w:pPr>
        <w:spacing w:after="40" w:before="160"/>
      </w:pPr>
      <w:r>
        <w:rPr>
          <w:b/>
          <w:bCs/>
          <w:color w:val="1A3E75"/>
          <w:sz w:val="22"/>
          <w:szCs w:val="22"/>
        </w:rPr>
        <w:t xml:space="preserve">ID-006  </w:t>
      </w:r>
      <w:r>
        <w:rPr>
          <w:b/>
          <w:bCs/>
          <w:sz w:val="22"/>
          <w:szCs w:val="22"/>
        </w:rPr>
        <w:t xml:space="preserve">KYC</w:t>
      </w:r>
      <w:r>
        <w:rPr>
          <w:i/>
          <w:iCs/>
          <w:color w:val="666666"/>
          <w:sz w:val="20"/>
          <w:szCs w:val="20"/>
        </w:rPr>
        <w:t xml:space="preserve">  —  Know Your Customer (KYC)</w:t>
      </w:r>
    </w:p>
    <w:p>
      <w:pPr>
        <w:spacing w:after="120"/>
      </w:pPr>
      <w:r>
        <w:rPr>
          <w:sz w:val="21"/>
          <w:szCs w:val="21"/>
        </w:rPr>
        <w:t xml:space="preserve">Prüfprozess zur Identifizierung von Vertragspartnern nach den einschlägigen Vorschriften (u. a. GwG); insbesondere bei Vendoren und Business-Organisationen.</w:t>
      </w:r>
    </w:p>
    <w:p>
      <w:pPr>
        <w:spacing w:after="40" w:before="160"/>
      </w:pPr>
      <w:r>
        <w:rPr>
          <w:b/>
          <w:bCs/>
          <w:color w:val="1A3E75"/>
          <w:sz w:val="22"/>
          <w:szCs w:val="22"/>
        </w:rPr>
        <w:t xml:space="preserve">ID-007  </w:t>
      </w:r>
      <w:r>
        <w:rPr>
          <w:b/>
          <w:bCs/>
          <w:sz w:val="22"/>
          <w:szCs w:val="22"/>
        </w:rPr>
        <w:t xml:space="preserve">Unternehmensverifikation</w:t>
      </w:r>
      <w:r>
        <w:rPr>
          <w:i/>
          <w:iCs/>
          <w:color w:val="666666"/>
          <w:sz w:val="20"/>
          <w:szCs w:val="20"/>
        </w:rPr>
        <w:t xml:space="preserve">  —  Business Verification</w:t>
      </w:r>
    </w:p>
    <w:p>
      <w:pPr>
        <w:spacing w:after="120"/>
      </w:pPr>
      <w:r>
        <w:rPr>
          <w:sz w:val="21"/>
          <w:szCs w:val="21"/>
        </w:rPr>
        <w:t xml:space="preserve">Nachweis der Existenz und Vertretungsbefugnis einer Business-Organisation oder eines Vendors über Handelsregister-, Steuer- und weiterer Nachweise.</w:t>
      </w:r>
    </w:p>
    <w:p>
      <w:pPr>
        <w:spacing w:after="40" w:before="160"/>
      </w:pPr>
      <w:r>
        <w:rPr>
          <w:b/>
          <w:bCs/>
          <w:color w:val="1A3E75"/>
          <w:sz w:val="22"/>
          <w:szCs w:val="22"/>
        </w:rPr>
        <w:t xml:space="preserve">ID-008  </w:t>
      </w:r>
      <w:r>
        <w:rPr>
          <w:b/>
          <w:bCs/>
          <w:sz w:val="22"/>
          <w:szCs w:val="22"/>
        </w:rPr>
        <w:t xml:space="preserve">Wirtschaftlich Berechtigter</w:t>
      </w:r>
      <w:r>
        <w:rPr>
          <w:i/>
          <w:iCs/>
          <w:color w:val="666666"/>
          <w:sz w:val="20"/>
          <w:szCs w:val="20"/>
        </w:rPr>
        <w:t xml:space="preserve">  —  Beneficial Owner</w:t>
      </w:r>
    </w:p>
    <w:p>
      <w:pPr>
        <w:spacing w:after="120"/>
      </w:pPr>
      <w:r>
        <w:rPr>
          <w:sz w:val="21"/>
          <w:szCs w:val="21"/>
        </w:rPr>
        <w:t xml:space="preserve">Natürliche Person, in deren Eigentum oder unter deren Kontrolle eine juristische Person letztlich steht (§ 3 GwG).</w:t>
      </w:r>
    </w:p>
    <w:p>
      <w:pPr>
        <w:spacing w:after="40" w:before="160"/>
      </w:pPr>
      <w:r>
        <w:rPr>
          <w:b/>
          <w:bCs/>
          <w:color w:val="1A3E75"/>
          <w:sz w:val="22"/>
          <w:szCs w:val="22"/>
        </w:rPr>
        <w:t xml:space="preserve">ID-009  </w:t>
      </w:r>
      <w:r>
        <w:rPr>
          <w:b/>
          <w:bCs/>
          <w:sz w:val="22"/>
          <w:szCs w:val="22"/>
        </w:rPr>
        <w:t xml:space="preserve">PEP-Prüfung</w:t>
      </w:r>
      <w:r>
        <w:rPr>
          <w:i/>
          <w:iCs/>
          <w:color w:val="666666"/>
          <w:sz w:val="20"/>
          <w:szCs w:val="20"/>
        </w:rPr>
        <w:t xml:space="preserve">  —  PEP Screening</w:t>
      </w:r>
    </w:p>
    <w:p>
      <w:pPr>
        <w:spacing w:after="120"/>
      </w:pPr>
      <w:r>
        <w:rPr>
          <w:sz w:val="21"/>
          <w:szCs w:val="21"/>
        </w:rPr>
        <w:t xml:space="preserve">Abgleich mit Listen politisch exponierter Personen im Rahmen der geldwäscherechtlichen Sorgfaltspflichten.</w:t>
      </w:r>
    </w:p>
    <w:p>
      <w:pPr>
        <w:spacing w:after="40" w:before="160"/>
      </w:pPr>
      <w:r>
        <w:rPr>
          <w:b/>
          <w:bCs/>
          <w:color w:val="1A3E75"/>
          <w:sz w:val="22"/>
          <w:szCs w:val="22"/>
        </w:rPr>
        <w:t xml:space="preserve">ID-010  </w:t>
      </w:r>
      <w:r>
        <w:rPr>
          <w:b/>
          <w:bCs/>
          <w:sz w:val="22"/>
          <w:szCs w:val="22"/>
        </w:rPr>
        <w:t xml:space="preserve">Sanktionslisten-Prüfung</w:t>
      </w:r>
      <w:r>
        <w:rPr>
          <w:i/>
          <w:iCs/>
          <w:color w:val="666666"/>
          <w:sz w:val="20"/>
          <w:szCs w:val="20"/>
        </w:rPr>
        <w:t xml:space="preserve">  —  Sanctions Screening</w:t>
      </w:r>
    </w:p>
    <w:p>
      <w:pPr>
        <w:spacing w:after="120"/>
      </w:pPr>
      <w:r>
        <w:rPr>
          <w:sz w:val="21"/>
          <w:szCs w:val="21"/>
        </w:rPr>
        <w:t xml:space="preserve">Abgleich mit EU-, UN- und deutschen Sanktionslisten vor Vertragsschluss und im laufenden Verhältnis.</w:t>
      </w:r>
    </w:p>
    <w:p>
      <w:pPr>
        <w:spacing w:after="40" w:before="160"/>
      </w:pPr>
      <w:r>
        <w:rPr>
          <w:b/>
          <w:bCs/>
          <w:color w:val="1A3E75"/>
          <w:sz w:val="22"/>
          <w:szCs w:val="22"/>
        </w:rPr>
        <w:t xml:space="preserve">ID-011  </w:t>
      </w:r>
      <w:r>
        <w:rPr>
          <w:b/>
          <w:bCs/>
          <w:sz w:val="22"/>
          <w:szCs w:val="22"/>
        </w:rPr>
        <w:t xml:space="preserve">Verifikationsstatus</w:t>
      </w:r>
      <w:r>
        <w:rPr>
          <w:i/>
          <w:iCs/>
          <w:color w:val="666666"/>
          <w:sz w:val="20"/>
          <w:szCs w:val="20"/>
        </w:rPr>
        <w:t xml:space="preserve">  —  Verification Status</w:t>
      </w:r>
    </w:p>
    <w:p>
      <w:pPr>
        <w:spacing w:after="120"/>
      </w:pPr>
      <w:r>
        <w:rPr>
          <w:sz w:val="21"/>
          <w:szCs w:val="21"/>
        </w:rPr>
        <w:t xml:space="preserve">Aktueller Zustand einer Verifikation (offen, in Prüfung, erfolgreich, abgelehnt, abgelaufen).</w:t>
      </w:r>
    </w:p>
    <w:p>
      <w:pPr>
        <w:spacing w:after="40" w:before="160"/>
      </w:pPr>
      <w:r>
        <w:rPr>
          <w:b/>
          <w:bCs/>
          <w:color w:val="1A3E75"/>
          <w:sz w:val="22"/>
          <w:szCs w:val="22"/>
        </w:rPr>
        <w:t xml:space="preserve">ID-012  </w:t>
      </w:r>
      <w:r>
        <w:rPr>
          <w:b/>
          <w:bCs/>
          <w:sz w:val="22"/>
          <w:szCs w:val="22"/>
        </w:rPr>
        <w:t xml:space="preserve">Vertretungsberechtigter</w:t>
      </w:r>
      <w:r>
        <w:rPr>
          <w:i/>
          <w:iCs/>
          <w:color w:val="666666"/>
          <w:sz w:val="20"/>
          <w:szCs w:val="20"/>
        </w:rPr>
        <w:t xml:space="preserve">  —  Authorized Representative</w:t>
      </w:r>
    </w:p>
    <w:p>
      <w:pPr>
        <w:spacing w:after="120"/>
      </w:pPr>
      <w:r>
        <w:rPr>
          <w:sz w:val="21"/>
          <w:szCs w:val="21"/>
        </w:rPr>
        <w:t xml:space="preserve">Natürliche Person, die für eine juristische Person rechtsverbindliche Erklärungen abgeben darf.</w:t>
      </w:r>
    </w:p>
    <w:p>
      <w:pPr>
        <w:spacing w:after="40" w:before="160"/>
      </w:pPr>
      <w:r>
        <w:rPr>
          <w:b/>
          <w:bCs/>
          <w:color w:val="1A3E75"/>
          <w:sz w:val="22"/>
          <w:szCs w:val="22"/>
        </w:rPr>
        <w:t xml:space="preserve">ID-013  </w:t>
      </w:r>
      <w:r>
        <w:rPr>
          <w:b/>
          <w:bCs/>
          <w:sz w:val="22"/>
          <w:szCs w:val="22"/>
        </w:rPr>
        <w:t xml:space="preserve">Elektronische Signatur</w:t>
      </w:r>
      <w:r>
        <w:rPr>
          <w:i/>
          <w:iCs/>
          <w:color w:val="666666"/>
          <w:sz w:val="20"/>
          <w:szCs w:val="20"/>
        </w:rPr>
        <w:t xml:space="preserve">  —  Electronic Signature</w:t>
      </w:r>
    </w:p>
    <w:p>
      <w:pPr>
        <w:spacing w:after="120"/>
      </w:pPr>
      <w:r>
        <w:rPr>
          <w:sz w:val="21"/>
          <w:szCs w:val="21"/>
        </w:rPr>
        <w:t xml:space="preserve">Nach eIDAS-Verordnung geregelte elektronische Signaturform; Standard: fortgeschrittene elektronische Signatur, bei Bedarf qualifiziert.</w:t>
      </w:r>
    </w:p>
    <w:p>
      <w:pPr>
        <w:spacing w:after="40" w:before="160"/>
      </w:pPr>
      <w:r>
        <w:rPr>
          <w:b/>
          <w:bCs/>
          <w:color w:val="1A3E75"/>
          <w:sz w:val="22"/>
          <w:szCs w:val="22"/>
        </w:rPr>
        <w:t xml:space="preserve">ID-014  </w:t>
      </w:r>
      <w:r>
        <w:rPr>
          <w:b/>
          <w:bCs/>
          <w:sz w:val="22"/>
          <w:szCs w:val="22"/>
        </w:rPr>
        <w:t xml:space="preserve">Rechtsbindungs-Marker</w:t>
      </w:r>
      <w:r>
        <w:rPr>
          <w:i/>
          <w:iCs/>
          <w:color w:val="666666"/>
          <w:sz w:val="20"/>
          <w:szCs w:val="20"/>
        </w:rPr>
        <w:t xml:space="preserve">  —  Consent Timestamp</w:t>
      </w:r>
    </w:p>
    <w:p>
      <w:pPr>
        <w:spacing w:after="120"/>
      </w:pPr>
      <w:r>
        <w:rPr>
          <w:sz w:val="21"/>
          <w:szCs w:val="21"/>
        </w:rPr>
        <w:t xml:space="preserve">Nachvollziehbare Aufzeichnung von Zeitpunkt, Version, IP-Adresse und Zustimmungshandlung eines Nutzers.</w:t>
      </w:r>
    </w:p>
    <w:p>
      <w:pPr>
        <w:pStyle w:val="Heading2"/>
      </w:pPr>
      <w:r>
        <w:t xml:space="preserve">BZ · Business / B2B</w:t>
      </w:r>
    </w:p>
    <w:p>
      <w:pPr>
        <w:spacing w:after="40" w:before="160"/>
      </w:pPr>
      <w:r>
        <w:rPr>
          <w:b/>
          <w:bCs/>
          <w:color w:val="1A3E75"/>
          <w:sz w:val="22"/>
          <w:szCs w:val="22"/>
        </w:rPr>
        <w:t xml:space="preserve">BZ-001  </w:t>
      </w:r>
      <w:r>
        <w:rPr>
          <w:b/>
          <w:bCs/>
          <w:sz w:val="22"/>
          <w:szCs w:val="22"/>
        </w:rPr>
        <w:t xml:space="preserve">Kostenstelle</w:t>
      </w:r>
      <w:r>
        <w:rPr>
          <w:i/>
          <w:iCs/>
          <w:color w:val="666666"/>
          <w:sz w:val="20"/>
          <w:szCs w:val="20"/>
        </w:rPr>
        <w:t xml:space="preserve">  —  Cost Center</w:t>
      </w:r>
    </w:p>
    <w:p>
      <w:pPr>
        <w:spacing w:after="120"/>
      </w:pPr>
      <w:r>
        <w:rPr>
          <w:sz w:val="21"/>
          <w:szCs w:val="21"/>
        </w:rPr>
        <w:t xml:space="preserve">Frei definierbare buchhalterische Einheit innerhalb einer Business-Organisation zur Zuordnung von Mietkosten.</w:t>
      </w:r>
    </w:p>
    <w:p>
      <w:pPr>
        <w:spacing w:after="40" w:before="160"/>
      </w:pPr>
      <w:r>
        <w:rPr>
          <w:b/>
          <w:bCs/>
          <w:color w:val="1A3E75"/>
          <w:sz w:val="22"/>
          <w:szCs w:val="22"/>
        </w:rPr>
        <w:t xml:space="preserve">BZ-002  </w:t>
      </w:r>
      <w:r>
        <w:rPr>
          <w:b/>
          <w:bCs/>
          <w:sz w:val="22"/>
          <w:szCs w:val="22"/>
        </w:rPr>
        <w:t xml:space="preserve">Projekt</w:t>
      </w:r>
      <w:r>
        <w:rPr>
          <w:i/>
          <w:iCs/>
          <w:color w:val="666666"/>
          <w:sz w:val="20"/>
          <w:szCs w:val="20"/>
        </w:rPr>
        <w:t xml:space="preserve">  —  Project</w:t>
      </w:r>
    </w:p>
    <w:p>
      <w:pPr>
        <w:spacing w:after="120"/>
      </w:pPr>
      <w:r>
        <w:rPr>
          <w:sz w:val="21"/>
          <w:szCs w:val="21"/>
        </w:rPr>
        <w:t xml:space="preserve">Zeitlich befristete Einheit innerhalb einer Business-Organisation zur Zuordnung von Mieten, Budgets und Beteiligten.</w:t>
      </w:r>
    </w:p>
    <w:p>
      <w:pPr>
        <w:spacing w:after="40" w:before="160"/>
      </w:pPr>
      <w:r>
        <w:rPr>
          <w:b/>
          <w:bCs/>
          <w:color w:val="1A3E75"/>
          <w:sz w:val="22"/>
          <w:szCs w:val="22"/>
        </w:rPr>
        <w:t xml:space="preserve">BZ-003  </w:t>
      </w:r>
      <w:r>
        <w:rPr>
          <w:b/>
          <w:bCs/>
          <w:sz w:val="22"/>
          <w:szCs w:val="22"/>
        </w:rPr>
        <w:t xml:space="preserve">Budget</w:t>
      </w:r>
      <w:r>
        <w:rPr>
          <w:i/>
          <w:iCs/>
          <w:color w:val="666666"/>
          <w:sz w:val="20"/>
          <w:szCs w:val="20"/>
        </w:rPr>
        <w:t xml:space="preserve">  —  Budget</w:t>
      </w:r>
    </w:p>
    <w:p>
      <w:pPr>
        <w:spacing w:after="120"/>
      </w:pPr>
      <w:r>
        <w:rPr>
          <w:sz w:val="21"/>
          <w:szCs w:val="21"/>
        </w:rPr>
        <w:t xml:space="preserve">Betragsmäßige Obergrenze für Mietvorgänge einer Organisation, einer Kostenstelle, eines Projekts oder eines Team-Mitglieds.</w:t>
      </w:r>
    </w:p>
    <w:p>
      <w:pPr>
        <w:spacing w:after="40" w:before="160"/>
      </w:pPr>
      <w:r>
        <w:rPr>
          <w:b/>
          <w:bCs/>
          <w:color w:val="1A3E75"/>
          <w:sz w:val="22"/>
          <w:szCs w:val="22"/>
        </w:rPr>
        <w:t xml:space="preserve">BZ-004  </w:t>
      </w:r>
      <w:r>
        <w:rPr>
          <w:b/>
          <w:bCs/>
          <w:sz w:val="22"/>
          <w:szCs w:val="22"/>
        </w:rPr>
        <w:t xml:space="preserve">Freigabekette</w:t>
      </w:r>
      <w:r>
        <w:rPr>
          <w:i/>
          <w:iCs/>
          <w:color w:val="666666"/>
          <w:sz w:val="20"/>
          <w:szCs w:val="20"/>
        </w:rPr>
        <w:t xml:space="preserve">  —  Approval Chain</w:t>
      </w:r>
    </w:p>
    <w:p>
      <w:pPr>
        <w:spacing w:after="120"/>
      </w:pPr>
      <w:r>
        <w:rPr>
          <w:sz w:val="21"/>
          <w:szCs w:val="21"/>
        </w:rPr>
        <w:t xml:space="preserve">Vordefinierte Abfolge von Personen, die eine Miete oder Bestellung freigeben müssen, bevor sie rechtsverbindlich wird.</w:t>
      </w:r>
    </w:p>
    <w:p>
      <w:pPr>
        <w:spacing w:after="40" w:before="160"/>
      </w:pPr>
      <w:r>
        <w:rPr>
          <w:b/>
          <w:bCs/>
          <w:color w:val="1A3E75"/>
          <w:sz w:val="22"/>
          <w:szCs w:val="22"/>
        </w:rPr>
        <w:t xml:space="preserve">BZ-005  </w:t>
      </w:r>
      <w:r>
        <w:rPr>
          <w:b/>
          <w:bCs/>
          <w:sz w:val="22"/>
          <w:szCs w:val="22"/>
        </w:rPr>
        <w:t xml:space="preserve">Freigabeschwelle</w:t>
      </w:r>
      <w:r>
        <w:rPr>
          <w:i/>
          <w:iCs/>
          <w:color w:val="666666"/>
          <w:sz w:val="20"/>
          <w:szCs w:val="20"/>
        </w:rPr>
        <w:t xml:space="preserve">  —  Approval Threshold</w:t>
      </w:r>
    </w:p>
    <w:p>
      <w:pPr>
        <w:spacing w:after="120"/>
      </w:pPr>
      <w:r>
        <w:rPr>
          <w:sz w:val="21"/>
          <w:szCs w:val="21"/>
        </w:rPr>
        <w:t xml:space="preserve">Betragsgrenze, ab der ein Vorgang eine zusätzliche Freigabe erfordert.</w:t>
      </w:r>
    </w:p>
    <w:p>
      <w:pPr>
        <w:spacing w:after="40" w:before="160"/>
      </w:pPr>
      <w:r>
        <w:rPr>
          <w:b/>
          <w:bCs/>
          <w:color w:val="1A3E75"/>
          <w:sz w:val="22"/>
          <w:szCs w:val="22"/>
        </w:rPr>
        <w:t xml:space="preserve">BZ-006  </w:t>
      </w:r>
      <w:r>
        <w:rPr>
          <w:b/>
          <w:bCs/>
          <w:sz w:val="22"/>
          <w:szCs w:val="22"/>
        </w:rPr>
        <w:t xml:space="preserve">Purchase Order</w:t>
      </w:r>
      <w:r>
        <w:rPr>
          <w:i/>
          <w:iCs/>
          <w:color w:val="666666"/>
          <w:sz w:val="20"/>
          <w:szCs w:val="20"/>
        </w:rPr>
        <w:t xml:space="preserve">  —  Purchase Order</w:t>
      </w:r>
    </w:p>
    <w:p>
      <w:pPr>
        <w:spacing w:after="120"/>
      </w:pPr>
      <w:r>
        <w:rPr>
          <w:sz w:val="21"/>
          <w:szCs w:val="21"/>
        </w:rPr>
        <w:t xml:space="preserve">Innerbetriebliches Bestelldokument mit eigener PO-Nummer, das einer Miete zugeordnet und auf der Rechnung ausgewiesen wird.</w:t>
      </w:r>
    </w:p>
    <w:p>
      <w:pPr>
        <w:spacing w:after="40" w:before="160"/>
      </w:pPr>
      <w:r>
        <w:rPr>
          <w:b/>
          <w:bCs/>
          <w:color w:val="1A3E75"/>
          <w:sz w:val="22"/>
          <w:szCs w:val="22"/>
        </w:rPr>
        <w:t xml:space="preserve">BZ-007  </w:t>
      </w:r>
      <w:r>
        <w:rPr>
          <w:b/>
          <w:bCs/>
          <w:sz w:val="22"/>
          <w:szCs w:val="22"/>
        </w:rPr>
        <w:t xml:space="preserve">Kreditlimit</w:t>
      </w:r>
      <w:r>
        <w:rPr>
          <w:i/>
          <w:iCs/>
          <w:color w:val="666666"/>
          <w:sz w:val="20"/>
          <w:szCs w:val="20"/>
        </w:rPr>
        <w:t xml:space="preserve">  —  Credit Limit</w:t>
      </w:r>
    </w:p>
    <w:p>
      <w:pPr>
        <w:spacing w:after="120"/>
      </w:pPr>
      <w:r>
        <w:rPr>
          <w:sz w:val="21"/>
          <w:szCs w:val="21"/>
        </w:rPr>
        <w:t xml:space="preserve">Maximales offenes Zahlungsvolumen einer Business-Organisation, bis zu dem Bestellungen ohne Vorauszahlung möglich sind.</w:t>
      </w:r>
    </w:p>
    <w:p>
      <w:pPr>
        <w:spacing w:after="40" w:before="160"/>
      </w:pPr>
      <w:r>
        <w:rPr>
          <w:b/>
          <w:bCs/>
          <w:color w:val="1A3E75"/>
          <w:sz w:val="22"/>
          <w:szCs w:val="22"/>
        </w:rPr>
        <w:t xml:space="preserve">BZ-008  </w:t>
      </w:r>
      <w:r>
        <w:rPr>
          <w:b/>
          <w:bCs/>
          <w:sz w:val="22"/>
          <w:szCs w:val="22"/>
        </w:rPr>
        <w:t xml:space="preserve">Rechnungsprofil</w:t>
      </w:r>
      <w:r>
        <w:rPr>
          <w:i/>
          <w:iCs/>
          <w:color w:val="666666"/>
          <w:sz w:val="20"/>
          <w:szCs w:val="20"/>
        </w:rPr>
        <w:t xml:space="preserve">  —  Invoice Profile</w:t>
      </w:r>
    </w:p>
    <w:p>
      <w:pPr>
        <w:spacing w:after="120"/>
      </w:pPr>
      <w:r>
        <w:rPr>
          <w:sz w:val="21"/>
          <w:szCs w:val="21"/>
        </w:rPr>
        <w:t xml:space="preserve">Vordefiniertes Bündel aus Rechnungsempfänger, Adresse, USt-IdNr., Zahlungsbedingungen und Referenzangaben, das einer Miete zugeordnet werden kann.</w:t>
      </w:r>
    </w:p>
    <w:p>
      <w:pPr>
        <w:spacing w:after="40" w:before="160"/>
      </w:pPr>
      <w:r>
        <w:rPr>
          <w:b/>
          <w:bCs/>
          <w:color w:val="1A3E75"/>
          <w:sz w:val="22"/>
          <w:szCs w:val="22"/>
        </w:rPr>
        <w:t xml:space="preserve">BZ-009  </w:t>
      </w:r>
      <w:r>
        <w:rPr>
          <w:b/>
          <w:bCs/>
          <w:sz w:val="22"/>
          <w:szCs w:val="22"/>
        </w:rPr>
        <w:t xml:space="preserve">Sammelrechnung</w:t>
      </w:r>
      <w:r>
        <w:rPr>
          <w:i/>
          <w:iCs/>
          <w:color w:val="666666"/>
          <w:sz w:val="20"/>
          <w:szCs w:val="20"/>
        </w:rPr>
        <w:t xml:space="preserve">  —  Consolidated Invoice</w:t>
      </w:r>
    </w:p>
    <w:p>
      <w:pPr>
        <w:spacing w:after="120"/>
      </w:pPr>
      <w:r>
        <w:rPr>
          <w:sz w:val="21"/>
          <w:szCs w:val="21"/>
        </w:rPr>
        <w:t xml:space="preserve">Zusammenfassung mehrerer Mieten oder Positionen zu einer Rechnung, i. d. R. periodenbezogen.</w:t>
      </w:r>
    </w:p>
    <w:p>
      <w:pPr>
        <w:spacing w:after="40" w:before="160"/>
      </w:pPr>
      <w:r>
        <w:rPr>
          <w:b/>
          <w:bCs/>
          <w:color w:val="1A3E75"/>
          <w:sz w:val="22"/>
          <w:szCs w:val="22"/>
        </w:rPr>
        <w:t xml:space="preserve">BZ-010  </w:t>
      </w:r>
      <w:r>
        <w:rPr>
          <w:b/>
          <w:bCs/>
          <w:sz w:val="22"/>
          <w:szCs w:val="22"/>
        </w:rPr>
        <w:t xml:space="preserve">SSO</w:t>
      </w:r>
      <w:r>
        <w:rPr>
          <w:i/>
          <w:iCs/>
          <w:color w:val="666666"/>
          <w:sz w:val="20"/>
          <w:szCs w:val="20"/>
        </w:rPr>
        <w:t xml:space="preserve">  —  Single Sign-On</w:t>
      </w:r>
    </w:p>
    <w:p>
      <w:pPr>
        <w:spacing w:after="120"/>
      </w:pPr>
      <w:r>
        <w:rPr>
          <w:sz w:val="21"/>
          <w:szCs w:val="21"/>
        </w:rPr>
        <w:t xml:space="preserve">Anmeldeverfahren mittels externem Identity Provider (z. B. SAML, OIDC), das Business-Organisationen zentral verwalten.</w:t>
      </w:r>
    </w:p>
    <w:p>
      <w:pPr>
        <w:spacing w:after="40" w:before="160"/>
      </w:pPr>
      <w:r>
        <w:rPr>
          <w:b/>
          <w:bCs/>
          <w:color w:val="1A3E75"/>
          <w:sz w:val="22"/>
          <w:szCs w:val="22"/>
        </w:rPr>
        <w:t xml:space="preserve">BZ-011  </w:t>
      </w:r>
      <w:r>
        <w:rPr>
          <w:b/>
          <w:bCs/>
          <w:sz w:val="22"/>
          <w:szCs w:val="22"/>
        </w:rPr>
        <w:t xml:space="preserve">SCIM-Bereitstellung</w:t>
      </w:r>
      <w:r>
        <w:rPr>
          <w:i/>
          <w:iCs/>
          <w:color w:val="666666"/>
          <w:sz w:val="20"/>
          <w:szCs w:val="20"/>
        </w:rPr>
        <w:t xml:space="preserve">  —  SCIM Provisioning</w:t>
      </w:r>
    </w:p>
    <w:p>
      <w:pPr>
        <w:spacing w:after="120"/>
      </w:pPr>
      <w:r>
        <w:rPr>
          <w:sz w:val="21"/>
          <w:szCs w:val="21"/>
        </w:rPr>
        <w:t xml:space="preserve">Standardisierter Prozess zur automatisierten Anlage, Änderung und Deaktivierung von Team-Mitgliedern über SCIM.</w:t>
      </w:r>
    </w:p>
    <w:p>
      <w:pPr>
        <w:spacing w:after="40" w:before="160"/>
      </w:pPr>
      <w:r>
        <w:rPr>
          <w:b/>
          <w:bCs/>
          <w:color w:val="1A3E75"/>
          <w:sz w:val="22"/>
          <w:szCs w:val="22"/>
        </w:rPr>
        <w:t xml:space="preserve">BZ-012  </w:t>
      </w:r>
      <w:r>
        <w:rPr>
          <w:b/>
          <w:bCs/>
          <w:sz w:val="22"/>
          <w:szCs w:val="22"/>
        </w:rPr>
        <w:t xml:space="preserve">API-Zugang</w:t>
      </w:r>
      <w:r>
        <w:rPr>
          <w:i/>
          <w:iCs/>
          <w:color w:val="666666"/>
          <w:sz w:val="20"/>
          <w:szCs w:val="20"/>
        </w:rPr>
        <w:t xml:space="preserve">  —  API Access</w:t>
      </w:r>
    </w:p>
    <w:p>
      <w:pPr>
        <w:spacing w:after="120"/>
      </w:pPr>
      <w:r>
        <w:rPr>
          <w:sz w:val="21"/>
          <w:szCs w:val="21"/>
        </w:rPr>
        <w:t xml:space="preserve">Vertraglich vereinbarter Zugriff auf die Programmierschnittstellen der Plattform, geregelt durch die API-Nutzungsbedingungen.</w:t>
      </w:r>
    </w:p>
    <w:p>
      <w:pPr>
        <w:spacing w:after="40" w:before="160"/>
      </w:pPr>
      <w:r>
        <w:rPr>
          <w:b/>
          <w:bCs/>
          <w:color w:val="1A3E75"/>
          <w:sz w:val="22"/>
          <w:szCs w:val="22"/>
        </w:rPr>
        <w:t xml:space="preserve">BZ-013  </w:t>
      </w:r>
      <w:r>
        <w:rPr>
          <w:b/>
          <w:bCs/>
          <w:sz w:val="22"/>
          <w:szCs w:val="22"/>
        </w:rPr>
        <w:t xml:space="preserve">Service Level Agreement</w:t>
      </w:r>
      <w:r>
        <w:rPr>
          <w:i/>
          <w:iCs/>
          <w:color w:val="666666"/>
          <w:sz w:val="20"/>
          <w:szCs w:val="20"/>
        </w:rPr>
        <w:t xml:space="preserve">  —  Service Level Agreement (SLA)</w:t>
      </w:r>
    </w:p>
    <w:p>
      <w:pPr>
        <w:spacing w:after="120"/>
      </w:pPr>
      <w:r>
        <w:rPr>
          <w:sz w:val="21"/>
          <w:szCs w:val="21"/>
        </w:rPr>
        <w:t xml:space="preserve">Vereinbarung über Verfügbarkeits-, Reaktions- und Bearbeitungszeiten für Business-Kunden mit definierten Messgrößen.</w:t>
      </w:r>
    </w:p>
    <w:p>
      <w:pPr>
        <w:spacing w:after="40" w:before="160"/>
      </w:pPr>
      <w:r>
        <w:rPr>
          <w:b/>
          <w:bCs/>
          <w:color w:val="1A3E75"/>
          <w:sz w:val="22"/>
          <w:szCs w:val="22"/>
        </w:rPr>
        <w:t xml:space="preserve">BZ-014  </w:t>
      </w:r>
      <w:r>
        <w:rPr>
          <w:b/>
          <w:bCs/>
          <w:sz w:val="22"/>
          <w:szCs w:val="22"/>
        </w:rPr>
        <w:t xml:space="preserve">Kontingent</w:t>
      </w:r>
      <w:r>
        <w:rPr>
          <w:i/>
          <w:iCs/>
          <w:color w:val="666666"/>
          <w:sz w:val="20"/>
          <w:szCs w:val="20"/>
        </w:rPr>
        <w:t xml:space="preserve">  —  Allocation</w:t>
      </w:r>
    </w:p>
    <w:p>
      <w:pPr>
        <w:spacing w:after="120"/>
      </w:pPr>
      <w:r>
        <w:rPr>
          <w:sz w:val="21"/>
          <w:szCs w:val="21"/>
        </w:rPr>
        <w:t xml:space="preserve">Kontingentiertes Nutzungsrecht (z. B. Anzahl paralleler Mieten, API-Aufrufe, Supportfälle) einer Business-Organisation.</w:t>
      </w:r>
    </w:p>
    <w:p>
      <w:pPr>
        <w:spacing w:after="40" w:before="160"/>
      </w:pPr>
      <w:r>
        <w:rPr>
          <w:b/>
          <w:bCs/>
          <w:color w:val="1A3E75"/>
          <w:sz w:val="22"/>
          <w:szCs w:val="22"/>
        </w:rPr>
        <w:t xml:space="preserve">BZ-015  </w:t>
      </w:r>
      <w:r>
        <w:rPr>
          <w:b/>
          <w:bCs/>
          <w:sz w:val="22"/>
          <w:szCs w:val="22"/>
        </w:rPr>
        <w:t xml:space="preserve">Konten-Manager</w:t>
      </w:r>
      <w:r>
        <w:rPr>
          <w:i/>
          <w:iCs/>
          <w:color w:val="666666"/>
          <w:sz w:val="20"/>
          <w:szCs w:val="20"/>
        </w:rPr>
        <w:t xml:space="preserve">  —  Account Manager</w:t>
      </w:r>
    </w:p>
    <w:p>
      <w:pPr>
        <w:spacing w:after="120"/>
      </w:pPr>
      <w:r>
        <w:rPr>
          <w:sz w:val="21"/>
          <w:szCs w:val="21"/>
        </w:rPr>
        <w:t xml:space="preserve">Persönliche Ansprechperson der LeasNet GmbH für Business-Organisationen ab einem definierten Betreuungslevel.</w:t>
      </w:r>
    </w:p>
    <w:p>
      <w:pPr>
        <w:pStyle w:val="Heading2"/>
      </w:pPr>
      <w:r>
        <w:t xml:space="preserve">VN · Vendor / Marketplace</w:t>
      </w:r>
    </w:p>
    <w:p>
      <w:pPr>
        <w:spacing w:after="40" w:before="160"/>
      </w:pPr>
      <w:r>
        <w:rPr>
          <w:b/>
          <w:bCs/>
          <w:color w:val="1A3E75"/>
          <w:sz w:val="22"/>
          <w:szCs w:val="22"/>
        </w:rPr>
        <w:t xml:space="preserve">VN-001  </w:t>
      </w:r>
      <w:r>
        <w:rPr>
          <w:b/>
          <w:bCs/>
          <w:sz w:val="22"/>
          <w:szCs w:val="22"/>
        </w:rPr>
        <w:t xml:space="preserve">Vendor-Onboarding</w:t>
      </w:r>
      <w:r>
        <w:rPr>
          <w:i/>
          <w:iCs/>
          <w:color w:val="666666"/>
          <w:sz w:val="20"/>
          <w:szCs w:val="20"/>
        </w:rPr>
        <w:t xml:space="preserve">  —  Vendor Onboarding</w:t>
      </w:r>
    </w:p>
    <w:p>
      <w:pPr>
        <w:spacing w:after="120"/>
      </w:pPr>
      <w:r>
        <w:rPr>
          <w:sz w:val="21"/>
          <w:szCs w:val="21"/>
        </w:rPr>
        <w:t xml:space="preserve">Prozess der erstmaligen Aufnahme eines Vendors auf der Plattform inklusive Verifikation, Vertragsabschluss und operativer Freischaltung.</w:t>
      </w:r>
    </w:p>
    <w:p>
      <w:pPr>
        <w:spacing w:after="40" w:before="160"/>
      </w:pPr>
      <w:r>
        <w:rPr>
          <w:b/>
          <w:bCs/>
          <w:color w:val="1A3E75"/>
          <w:sz w:val="22"/>
          <w:szCs w:val="22"/>
        </w:rPr>
        <w:t xml:space="preserve">VN-002  </w:t>
      </w:r>
      <w:r>
        <w:rPr>
          <w:b/>
          <w:bCs/>
          <w:sz w:val="22"/>
          <w:szCs w:val="22"/>
        </w:rPr>
        <w:t xml:space="preserve">Vendor-Framework-Vertrag</w:t>
      </w:r>
      <w:r>
        <w:rPr>
          <w:i/>
          <w:iCs/>
          <w:color w:val="666666"/>
          <w:sz w:val="20"/>
          <w:szCs w:val="20"/>
        </w:rPr>
        <w:t xml:space="preserve">  —  Vendor Framework Agreement</w:t>
      </w:r>
    </w:p>
    <w:p>
      <w:pPr>
        <w:spacing w:after="120"/>
      </w:pPr>
      <w:r>
        <w:rPr>
          <w:sz w:val="21"/>
          <w:szCs w:val="21"/>
        </w:rPr>
        <w:t xml:space="preserve">Rahmenvertrag zwischen dem Vendor und der LeasNet GmbH über sämtliche Aspekte der Nutzung des Marketplaces.</w:t>
      </w:r>
    </w:p>
    <w:p>
      <w:pPr>
        <w:spacing w:after="40" w:before="160"/>
      </w:pPr>
      <w:r>
        <w:rPr>
          <w:b/>
          <w:bCs/>
          <w:color w:val="1A3E75"/>
          <w:sz w:val="22"/>
          <w:szCs w:val="22"/>
        </w:rPr>
        <w:t xml:space="preserve">VN-003  </w:t>
      </w:r>
      <w:r>
        <w:rPr>
          <w:b/>
          <w:bCs/>
          <w:sz w:val="22"/>
          <w:szCs w:val="22"/>
        </w:rPr>
        <w:t xml:space="preserve">Vendor-Portal-Nutzungsbedingungen</w:t>
      </w:r>
      <w:r>
        <w:rPr>
          <w:i/>
          <w:iCs/>
          <w:color w:val="666666"/>
          <w:sz w:val="20"/>
          <w:szCs w:val="20"/>
        </w:rPr>
        <w:t xml:space="preserve">  —  Vendor Portal Terms</w:t>
      </w:r>
    </w:p>
    <w:p>
      <w:pPr>
        <w:spacing w:after="120"/>
      </w:pPr>
      <w:r>
        <w:rPr>
          <w:sz w:val="21"/>
          <w:szCs w:val="21"/>
        </w:rPr>
        <w:t xml:space="preserve">Nutzungsbedingungen für die technische Nutzung des Vendor-Portals einschließlich Rechten, Rollen und akzeptabler Nutzung.</w:t>
      </w:r>
    </w:p>
    <w:p>
      <w:pPr>
        <w:spacing w:after="40" w:before="160"/>
      </w:pPr>
      <w:r>
        <w:rPr>
          <w:b/>
          <w:bCs/>
          <w:color w:val="1A3E75"/>
          <w:sz w:val="22"/>
          <w:szCs w:val="22"/>
        </w:rPr>
        <w:t xml:space="preserve">VN-004  </w:t>
      </w:r>
      <w:r>
        <w:rPr>
          <w:b/>
          <w:bCs/>
          <w:sz w:val="22"/>
          <w:szCs w:val="22"/>
        </w:rPr>
        <w:t xml:space="preserve">Listing-Regeln</w:t>
      </w:r>
      <w:r>
        <w:rPr>
          <w:i/>
          <w:iCs/>
          <w:color w:val="666666"/>
          <w:sz w:val="20"/>
          <w:szCs w:val="20"/>
        </w:rPr>
        <w:t xml:space="preserve">  —  Listing Policy</w:t>
      </w:r>
    </w:p>
    <w:p>
      <w:pPr>
        <w:spacing w:after="120"/>
      </w:pPr>
      <w:r>
        <w:rPr>
          <w:sz w:val="21"/>
          <w:szCs w:val="21"/>
        </w:rPr>
        <w:t xml:space="preserve">Verbindliche Vorgaben zu Struktur, Inhalten, Bildqualität, Preisangaben und Verfügbarkeitsangaben von Listings.</w:t>
      </w:r>
    </w:p>
    <w:p>
      <w:pPr>
        <w:spacing w:after="40" w:before="160"/>
      </w:pPr>
      <w:r>
        <w:rPr>
          <w:b/>
          <w:bCs/>
          <w:color w:val="1A3E75"/>
          <w:sz w:val="22"/>
          <w:szCs w:val="22"/>
        </w:rPr>
        <w:t xml:space="preserve">VN-005  </w:t>
      </w:r>
      <w:r>
        <w:rPr>
          <w:b/>
          <w:bCs/>
          <w:sz w:val="22"/>
          <w:szCs w:val="22"/>
        </w:rPr>
        <w:t xml:space="preserve">Ranking-Regeln</w:t>
      </w:r>
      <w:r>
        <w:rPr>
          <w:i/>
          <w:iCs/>
          <w:color w:val="666666"/>
          <w:sz w:val="20"/>
          <w:szCs w:val="20"/>
        </w:rPr>
        <w:t xml:space="preserve">  —  Ranking Policy</w:t>
      </w:r>
    </w:p>
    <w:p>
      <w:pPr>
        <w:spacing w:after="120"/>
      </w:pPr>
      <w:r>
        <w:rPr>
          <w:sz w:val="21"/>
          <w:szCs w:val="21"/>
        </w:rPr>
        <w:t xml:space="preserve">Offengelegte Kriterien zur Rangfolge von Listings in Suche und Empfehlungen gemäß den Anforderungen der P2B-Verordnung.</w:t>
      </w:r>
    </w:p>
    <w:p>
      <w:pPr>
        <w:spacing w:after="40" w:before="160"/>
      </w:pPr>
      <w:r>
        <w:rPr>
          <w:b/>
          <w:bCs/>
          <w:color w:val="1A3E75"/>
          <w:sz w:val="22"/>
          <w:szCs w:val="22"/>
        </w:rPr>
        <w:t xml:space="preserve">VN-006  </w:t>
      </w:r>
      <w:r>
        <w:rPr>
          <w:b/>
          <w:bCs/>
          <w:sz w:val="22"/>
          <w:szCs w:val="22"/>
        </w:rPr>
        <w:t xml:space="preserve">Werbe- und Sponsoring-Regeln</w:t>
      </w:r>
      <w:r>
        <w:rPr>
          <w:i/>
          <w:iCs/>
          <w:color w:val="666666"/>
          <w:sz w:val="20"/>
          <w:szCs w:val="20"/>
        </w:rPr>
        <w:t xml:space="preserve">  —  Advertising Policy</w:t>
      </w:r>
    </w:p>
    <w:p>
      <w:pPr>
        <w:spacing w:after="120"/>
      </w:pPr>
      <w:r>
        <w:rPr>
          <w:sz w:val="21"/>
          <w:szCs w:val="21"/>
        </w:rPr>
        <w:t xml:space="preserve">Regeln zu bezahlten Platzierungen, gesponserten Listings, Kennzeichnungspflichten und Ausschlüssen.</w:t>
      </w:r>
    </w:p>
    <w:p>
      <w:pPr>
        <w:spacing w:after="40" w:before="160"/>
      </w:pPr>
      <w:r>
        <w:rPr>
          <w:b/>
          <w:bCs/>
          <w:color w:val="1A3E75"/>
          <w:sz w:val="22"/>
          <w:szCs w:val="22"/>
        </w:rPr>
        <w:t xml:space="preserve">VN-007  </w:t>
      </w:r>
      <w:r>
        <w:rPr>
          <w:b/>
          <w:bCs/>
          <w:sz w:val="22"/>
          <w:szCs w:val="22"/>
        </w:rPr>
        <w:t xml:space="preserve">Marken-Lizenz</w:t>
      </w:r>
      <w:r>
        <w:rPr>
          <w:i/>
          <w:iCs/>
          <w:color w:val="666666"/>
          <w:sz w:val="20"/>
          <w:szCs w:val="20"/>
        </w:rPr>
        <w:t xml:space="preserve">  —  Brand License</w:t>
      </w:r>
    </w:p>
    <w:p>
      <w:pPr>
        <w:spacing w:after="120"/>
      </w:pPr>
      <w:r>
        <w:rPr>
          <w:sz w:val="21"/>
          <w:szCs w:val="21"/>
        </w:rPr>
        <w:t xml:space="preserve">Eingeschränkte Nutzungsrechte des Vendors an Marken der LeasNet GmbH bzw. der Plattform.</w:t>
      </w:r>
    </w:p>
    <w:p>
      <w:pPr>
        <w:spacing w:after="40" w:before="160"/>
      </w:pPr>
      <w:r>
        <w:rPr>
          <w:b/>
          <w:bCs/>
          <w:color w:val="1A3E75"/>
          <w:sz w:val="22"/>
          <w:szCs w:val="22"/>
        </w:rPr>
        <w:t xml:space="preserve">VN-008  </w:t>
      </w:r>
      <w:r>
        <w:rPr>
          <w:b/>
          <w:bCs/>
          <w:sz w:val="22"/>
          <w:szCs w:val="22"/>
        </w:rPr>
        <w:t xml:space="preserve">Marken-Nutzung durch die Plattform</w:t>
      </w:r>
      <w:r>
        <w:rPr>
          <w:i/>
          <w:iCs/>
          <w:color w:val="666666"/>
          <w:sz w:val="20"/>
          <w:szCs w:val="20"/>
        </w:rPr>
        <w:t xml:space="preserve">  —  Vendor Brand Use</w:t>
      </w:r>
    </w:p>
    <w:p>
      <w:pPr>
        <w:spacing w:after="120"/>
      </w:pPr>
      <w:r>
        <w:rPr>
          <w:sz w:val="21"/>
          <w:szCs w:val="21"/>
        </w:rPr>
        <w:t xml:space="preserve">Zweckgebundenes, einfaches, widerrufliches Recht der Plattform zur Nutzung von Vendor-Marken für Katalog- und Werbezwecke.</w:t>
      </w:r>
    </w:p>
    <w:p>
      <w:pPr>
        <w:spacing w:after="40" w:before="160"/>
      </w:pPr>
      <w:r>
        <w:rPr>
          <w:b/>
          <w:bCs/>
          <w:color w:val="1A3E75"/>
          <w:sz w:val="22"/>
          <w:szCs w:val="22"/>
        </w:rPr>
        <w:t xml:space="preserve">VN-009  </w:t>
      </w:r>
      <w:r>
        <w:rPr>
          <w:b/>
          <w:bCs/>
          <w:sz w:val="22"/>
          <w:szCs w:val="22"/>
        </w:rPr>
        <w:t xml:space="preserve">Datenweitergabe an Vendor</w:t>
      </w:r>
      <w:r>
        <w:rPr>
          <w:i/>
          <w:iCs/>
          <w:color w:val="666666"/>
          <w:sz w:val="20"/>
          <w:szCs w:val="20"/>
        </w:rPr>
        <w:t xml:space="preserve">  —  Vendor Data Sharing</w:t>
      </w:r>
    </w:p>
    <w:p>
      <w:pPr>
        <w:spacing w:after="120"/>
      </w:pPr>
      <w:r>
        <w:rPr>
          <w:sz w:val="21"/>
          <w:szCs w:val="21"/>
        </w:rPr>
        <w:t xml:space="preserve">Definierter Umfang der Daten, die dem Vendor über Buchungen, Kunden und Zahlungen bereitgestellt werden, unter Beachtung des Datenschutzes.</w:t>
      </w:r>
    </w:p>
    <w:p>
      <w:pPr>
        <w:spacing w:after="40" w:before="160"/>
      </w:pPr>
      <w:r>
        <w:rPr>
          <w:b/>
          <w:bCs/>
          <w:color w:val="1A3E75"/>
          <w:sz w:val="22"/>
          <w:szCs w:val="22"/>
        </w:rPr>
        <w:t xml:space="preserve">VN-010  </w:t>
      </w:r>
      <w:r>
        <w:rPr>
          <w:b/>
          <w:bCs/>
          <w:sz w:val="22"/>
          <w:szCs w:val="22"/>
        </w:rPr>
        <w:t xml:space="preserve">Vendor-Kommunikation</w:t>
      </w:r>
      <w:r>
        <w:rPr>
          <w:i/>
          <w:iCs/>
          <w:color w:val="666666"/>
          <w:sz w:val="20"/>
          <w:szCs w:val="20"/>
        </w:rPr>
        <w:t xml:space="preserve">  —  Vendor Communication</w:t>
      </w:r>
    </w:p>
    <w:p>
      <w:pPr>
        <w:spacing w:after="120"/>
      </w:pPr>
      <w:r>
        <w:rPr>
          <w:sz w:val="21"/>
          <w:szCs w:val="21"/>
        </w:rPr>
        <w:t xml:space="preserve">Regeln zur direkten Kommunikation zwischen Kunden und Vendor über die Plattformkanäle.</w:t>
      </w:r>
    </w:p>
    <w:p>
      <w:pPr>
        <w:spacing w:after="40" w:before="160"/>
      </w:pPr>
      <w:r>
        <w:rPr>
          <w:b/>
          <w:bCs/>
          <w:color w:val="1A3E75"/>
          <w:sz w:val="22"/>
          <w:szCs w:val="22"/>
        </w:rPr>
        <w:t xml:space="preserve">VN-011  </w:t>
      </w:r>
      <w:r>
        <w:rPr>
          <w:b/>
          <w:bCs/>
          <w:sz w:val="22"/>
          <w:szCs w:val="22"/>
        </w:rPr>
        <w:t xml:space="preserve">Vendor-Suspendierung</w:t>
      </w:r>
      <w:r>
        <w:rPr>
          <w:i/>
          <w:iCs/>
          <w:color w:val="666666"/>
          <w:sz w:val="20"/>
          <w:szCs w:val="20"/>
        </w:rPr>
        <w:t xml:space="preserve">  —  Vendor Suspension</w:t>
      </w:r>
    </w:p>
    <w:p>
      <w:pPr>
        <w:spacing w:after="120"/>
      </w:pPr>
      <w:r>
        <w:rPr>
          <w:sz w:val="21"/>
          <w:szCs w:val="21"/>
        </w:rPr>
        <w:t xml:space="preserve">Temporäre Sperrung eines Vendors bei Verletzung von Regeln, Sicherheitsverdacht oder behördlicher Aufforderung.</w:t>
      </w:r>
    </w:p>
    <w:p>
      <w:pPr>
        <w:spacing w:after="40" w:before="160"/>
      </w:pPr>
      <w:r>
        <w:rPr>
          <w:b/>
          <w:bCs/>
          <w:color w:val="1A3E75"/>
          <w:sz w:val="22"/>
          <w:szCs w:val="22"/>
        </w:rPr>
        <w:t xml:space="preserve">VN-012  </w:t>
      </w:r>
      <w:r>
        <w:rPr>
          <w:b/>
          <w:bCs/>
          <w:sz w:val="22"/>
          <w:szCs w:val="22"/>
        </w:rPr>
        <w:t xml:space="preserve">Vendor-Kündigung</w:t>
      </w:r>
      <w:r>
        <w:rPr>
          <w:i/>
          <w:iCs/>
          <w:color w:val="666666"/>
          <w:sz w:val="20"/>
          <w:szCs w:val="20"/>
        </w:rPr>
        <w:t xml:space="preserve">  —  Vendor Termination</w:t>
      </w:r>
    </w:p>
    <w:p>
      <w:pPr>
        <w:spacing w:after="120"/>
      </w:pPr>
      <w:r>
        <w:rPr>
          <w:sz w:val="21"/>
          <w:szCs w:val="21"/>
        </w:rPr>
        <w:t xml:space="preserve">Beendigung der Vertragsbeziehung mit dem Vendor; einschließlich Abwicklung offener Buchungen, Auszahlungen und Datenlöschung.</w:t>
      </w:r>
    </w:p>
    <w:p>
      <w:pPr>
        <w:spacing w:after="40" w:before="160"/>
      </w:pPr>
      <w:r>
        <w:rPr>
          <w:b/>
          <w:bCs/>
          <w:color w:val="1A3E75"/>
          <w:sz w:val="22"/>
          <w:szCs w:val="22"/>
        </w:rPr>
        <w:t xml:space="preserve">VN-013  </w:t>
      </w:r>
      <w:r>
        <w:rPr>
          <w:b/>
          <w:bCs/>
          <w:sz w:val="22"/>
          <w:szCs w:val="22"/>
        </w:rPr>
        <w:t xml:space="preserve">Zusatzleistungen</w:t>
      </w:r>
      <w:r>
        <w:rPr>
          <w:i/>
          <w:iCs/>
          <w:color w:val="666666"/>
          <w:sz w:val="20"/>
          <w:szCs w:val="20"/>
        </w:rPr>
        <w:t xml:space="preserve">  —  Optional Services</w:t>
      </w:r>
    </w:p>
    <w:p>
      <w:pPr>
        <w:spacing w:after="120"/>
      </w:pPr>
      <w:r>
        <w:rPr>
          <w:sz w:val="21"/>
          <w:szCs w:val="21"/>
        </w:rPr>
        <w:t xml:space="preserve">Von der Plattform angebotene Zusatzleistungen für Vendoren (z. B. Warehouse-Dienste, Reparatur, Reinigung, Fotografie, Marketing, Premium-Support, API).</w:t>
      </w:r>
    </w:p>
    <w:p>
      <w:pPr>
        <w:spacing w:after="40" w:before="160"/>
      </w:pPr>
      <w:r>
        <w:rPr>
          <w:b/>
          <w:bCs/>
          <w:color w:val="1A3E75"/>
          <w:sz w:val="22"/>
          <w:szCs w:val="22"/>
        </w:rPr>
        <w:t xml:space="preserve">VN-014  </w:t>
      </w:r>
      <w:r>
        <w:rPr>
          <w:b/>
          <w:bCs/>
          <w:sz w:val="22"/>
          <w:szCs w:val="22"/>
        </w:rPr>
        <w:t xml:space="preserve">Warehouse-Service für Vendor</w:t>
      </w:r>
      <w:r>
        <w:rPr>
          <w:i/>
          <w:iCs/>
          <w:color w:val="666666"/>
          <w:sz w:val="20"/>
          <w:szCs w:val="20"/>
        </w:rPr>
        <w:t xml:space="preserve">  —  Vendor Warehousing Service</w:t>
      </w:r>
    </w:p>
    <w:p>
      <w:pPr>
        <w:spacing w:after="120"/>
      </w:pPr>
      <w:r>
        <w:rPr>
          <w:sz w:val="21"/>
          <w:szCs w:val="21"/>
        </w:rPr>
        <w:t xml:space="preserve">Optionale Leistung, bei der Vendoren ihre Assets durch die LeasNet GmbH lagern und abwickeln lassen.</w:t>
      </w:r>
    </w:p>
    <w:p>
      <w:pPr>
        <w:spacing w:after="40" w:before="160"/>
      </w:pPr>
      <w:r>
        <w:rPr>
          <w:b/>
          <w:bCs/>
          <w:color w:val="1A3E75"/>
          <w:sz w:val="22"/>
          <w:szCs w:val="22"/>
        </w:rPr>
        <w:t xml:space="preserve">VN-015  </w:t>
      </w:r>
      <w:r>
        <w:rPr>
          <w:b/>
          <w:bCs/>
          <w:sz w:val="22"/>
          <w:szCs w:val="22"/>
        </w:rPr>
        <w:t xml:space="preserve">Payout-Konto</w:t>
      </w:r>
      <w:r>
        <w:rPr>
          <w:i/>
          <w:iCs/>
          <w:color w:val="666666"/>
          <w:sz w:val="20"/>
          <w:szCs w:val="20"/>
        </w:rPr>
        <w:t xml:space="preserve">  —  Payout Account</w:t>
      </w:r>
    </w:p>
    <w:p>
      <w:pPr>
        <w:spacing w:after="120"/>
      </w:pPr>
      <w:r>
        <w:rPr>
          <w:sz w:val="21"/>
          <w:szCs w:val="21"/>
        </w:rPr>
        <w:t xml:space="preserve">Vom Vendor bereitgestelltes, verifiziertes Bankkonto für Auszahlungen; muss auf den Vendor bzw. dessen Rechtsträger lauten.</w:t>
      </w:r>
    </w:p>
    <w:p>
      <w:pPr>
        <w:pStyle w:val="Heading2"/>
      </w:pPr>
      <w:r>
        <w:t xml:space="preserve">DA · Daten, Datenschutz &amp; Consent</w:t>
      </w:r>
    </w:p>
    <w:p>
      <w:pPr>
        <w:spacing w:after="40" w:before="160"/>
      </w:pPr>
      <w:r>
        <w:rPr>
          <w:b/>
          <w:bCs/>
          <w:color w:val="1A3E75"/>
          <w:sz w:val="22"/>
          <w:szCs w:val="22"/>
        </w:rPr>
        <w:t xml:space="preserve">DA-001  </w:t>
      </w:r>
      <w:r>
        <w:rPr>
          <w:b/>
          <w:bCs/>
          <w:sz w:val="22"/>
          <w:szCs w:val="22"/>
        </w:rPr>
        <w:t xml:space="preserve">Personenbezogene Daten</w:t>
      </w:r>
      <w:r>
        <w:rPr>
          <w:i/>
          <w:iCs/>
          <w:color w:val="666666"/>
          <w:sz w:val="20"/>
          <w:szCs w:val="20"/>
        </w:rPr>
        <w:t xml:space="preserve">  —  Personal Data</w:t>
      </w:r>
    </w:p>
    <w:p>
      <w:pPr>
        <w:spacing w:after="120"/>
      </w:pPr>
      <w:r>
        <w:rPr>
          <w:sz w:val="21"/>
          <w:szCs w:val="21"/>
        </w:rPr>
        <w:t xml:space="preserve">Alle Informationen, die sich auf eine identifizierte oder identifizierbare natürliche Person beziehen (Art. 4 Nr. 1 DSGVO).</w:t>
      </w:r>
    </w:p>
    <w:p>
      <w:pPr>
        <w:spacing w:after="40" w:before="160"/>
      </w:pPr>
      <w:r>
        <w:rPr>
          <w:b/>
          <w:bCs/>
          <w:color w:val="1A3E75"/>
          <w:sz w:val="22"/>
          <w:szCs w:val="22"/>
        </w:rPr>
        <w:t xml:space="preserve">DA-002  </w:t>
      </w:r>
      <w:r>
        <w:rPr>
          <w:b/>
          <w:bCs/>
          <w:sz w:val="22"/>
          <w:szCs w:val="22"/>
        </w:rPr>
        <w:t xml:space="preserve">Verantwortlicher</w:t>
      </w:r>
      <w:r>
        <w:rPr>
          <w:i/>
          <w:iCs/>
          <w:color w:val="666666"/>
          <w:sz w:val="20"/>
          <w:szCs w:val="20"/>
        </w:rPr>
        <w:t xml:space="preserve">  —  Controller</w:t>
      </w:r>
    </w:p>
    <w:p>
      <w:pPr>
        <w:spacing w:after="120"/>
      </w:pPr>
      <w:r>
        <w:rPr>
          <w:sz w:val="21"/>
          <w:szCs w:val="21"/>
        </w:rPr>
        <w:t xml:space="preserve">Die Stelle, die über die Zwecke und Mittel der Verarbeitung personenbezogener Daten entscheidet (Art. 4 Nr. 7 DSGVO).</w:t>
      </w:r>
    </w:p>
    <w:p>
      <w:pPr>
        <w:spacing w:after="40" w:before="160"/>
      </w:pPr>
      <w:r>
        <w:rPr>
          <w:b/>
          <w:bCs/>
          <w:color w:val="1A3E75"/>
          <w:sz w:val="22"/>
          <w:szCs w:val="22"/>
        </w:rPr>
        <w:t xml:space="preserve">DA-003  </w:t>
      </w:r>
      <w:r>
        <w:rPr>
          <w:b/>
          <w:bCs/>
          <w:sz w:val="22"/>
          <w:szCs w:val="22"/>
        </w:rPr>
        <w:t xml:space="preserve">Auftragsverarbeiter</w:t>
      </w:r>
      <w:r>
        <w:rPr>
          <w:i/>
          <w:iCs/>
          <w:color w:val="666666"/>
          <w:sz w:val="20"/>
          <w:szCs w:val="20"/>
        </w:rPr>
        <w:t xml:space="preserve">  —  Processor</w:t>
      </w:r>
    </w:p>
    <w:p>
      <w:pPr>
        <w:spacing w:after="120"/>
      </w:pPr>
      <w:r>
        <w:rPr>
          <w:sz w:val="21"/>
          <w:szCs w:val="21"/>
        </w:rPr>
        <w:t xml:space="preserve">Eine Stelle, die personenbezogene Daten im Auftrag des Verantwortlichen verarbeitet (Art. 4 Nr. 8 DSGVO).</w:t>
      </w:r>
    </w:p>
    <w:p>
      <w:pPr>
        <w:spacing w:after="40" w:before="160"/>
      </w:pPr>
      <w:r>
        <w:rPr>
          <w:b/>
          <w:bCs/>
          <w:color w:val="1A3E75"/>
          <w:sz w:val="22"/>
          <w:szCs w:val="22"/>
        </w:rPr>
        <w:t xml:space="preserve">DA-004  </w:t>
      </w:r>
      <w:r>
        <w:rPr>
          <w:b/>
          <w:bCs/>
          <w:sz w:val="22"/>
          <w:szCs w:val="22"/>
        </w:rPr>
        <w:t xml:space="preserve">Gemeinsame Verantwortlichkeit</w:t>
      </w:r>
      <w:r>
        <w:rPr>
          <w:i/>
          <w:iCs/>
          <w:color w:val="666666"/>
          <w:sz w:val="20"/>
          <w:szCs w:val="20"/>
        </w:rPr>
        <w:t xml:space="preserve">  —  Joint Controllership</w:t>
      </w:r>
    </w:p>
    <w:p>
      <w:pPr>
        <w:spacing w:after="120"/>
      </w:pPr>
      <w:r>
        <w:rPr>
          <w:sz w:val="21"/>
          <w:szCs w:val="21"/>
        </w:rPr>
        <w:t xml:space="preserve">Konstellation, in der zwei oder mehr Verantwortliche gemeinsam über Zwecke und Mittel entscheiden (Art. 26 DSGVO).</w:t>
      </w:r>
    </w:p>
    <w:p>
      <w:pPr>
        <w:spacing w:after="40" w:before="160"/>
      </w:pPr>
      <w:r>
        <w:rPr>
          <w:b/>
          <w:bCs/>
          <w:color w:val="1A3E75"/>
          <w:sz w:val="22"/>
          <w:szCs w:val="22"/>
        </w:rPr>
        <w:t xml:space="preserve">DA-005  </w:t>
      </w:r>
      <w:r>
        <w:rPr>
          <w:b/>
          <w:bCs/>
          <w:sz w:val="22"/>
          <w:szCs w:val="22"/>
        </w:rPr>
        <w:t xml:space="preserve">Auftragsverarbeitungsvertrag</w:t>
      </w:r>
      <w:r>
        <w:rPr>
          <w:i/>
          <w:iCs/>
          <w:color w:val="666666"/>
          <w:sz w:val="20"/>
          <w:szCs w:val="20"/>
        </w:rPr>
        <w:t xml:space="preserve">  —  Data Processing Agreement</w:t>
      </w:r>
    </w:p>
    <w:p>
      <w:pPr>
        <w:spacing w:after="120"/>
      </w:pPr>
      <w:r>
        <w:rPr>
          <w:sz w:val="21"/>
          <w:szCs w:val="21"/>
        </w:rPr>
        <w:t xml:space="preserve">Vertrag nach Art. 28 DSGVO, der Rechte und Pflichten im Auftragsverarbeitungsverhältnis regelt.</w:t>
      </w:r>
    </w:p>
    <w:p>
      <w:pPr>
        <w:spacing w:after="40" w:before="160"/>
      </w:pPr>
      <w:r>
        <w:rPr>
          <w:b/>
          <w:bCs/>
          <w:color w:val="1A3E75"/>
          <w:sz w:val="22"/>
          <w:szCs w:val="22"/>
        </w:rPr>
        <w:t xml:space="preserve">DA-006  </w:t>
      </w:r>
      <w:r>
        <w:rPr>
          <w:b/>
          <w:bCs/>
          <w:sz w:val="22"/>
          <w:szCs w:val="22"/>
        </w:rPr>
        <w:t xml:space="preserve">Consent</w:t>
      </w:r>
      <w:r>
        <w:rPr>
          <w:i/>
          <w:iCs/>
          <w:color w:val="666666"/>
          <w:sz w:val="20"/>
          <w:szCs w:val="20"/>
        </w:rPr>
        <w:t xml:space="preserve">  —  Consent</w:t>
      </w:r>
    </w:p>
    <w:p>
      <w:pPr>
        <w:spacing w:after="120"/>
      </w:pPr>
      <w:r>
        <w:rPr>
          <w:sz w:val="21"/>
          <w:szCs w:val="21"/>
        </w:rPr>
        <w:t xml:space="preserve">Freiwillige, informierte, ausdrückliche Einwilligung einer betroffenen Person nach Art. 6 Abs. 1 lit. a DSGVO.</w:t>
      </w:r>
    </w:p>
    <w:p>
      <w:pPr>
        <w:spacing w:after="40" w:before="160"/>
      </w:pPr>
      <w:r>
        <w:rPr>
          <w:b/>
          <w:bCs/>
          <w:color w:val="1A3E75"/>
          <w:sz w:val="22"/>
          <w:szCs w:val="22"/>
        </w:rPr>
        <w:t xml:space="preserve">DA-007  </w:t>
      </w:r>
      <w:r>
        <w:rPr>
          <w:b/>
          <w:bCs/>
          <w:sz w:val="22"/>
          <w:szCs w:val="22"/>
        </w:rPr>
        <w:t xml:space="preserve">Berechtigtes Interesse</w:t>
      </w:r>
      <w:r>
        <w:rPr>
          <w:i/>
          <w:iCs/>
          <w:color w:val="666666"/>
          <w:sz w:val="20"/>
          <w:szCs w:val="20"/>
        </w:rPr>
        <w:t xml:space="preserve">  —  Legitimate Interest</w:t>
      </w:r>
    </w:p>
    <w:p>
      <w:pPr>
        <w:spacing w:after="120"/>
      </w:pPr>
      <w:r>
        <w:rPr>
          <w:sz w:val="21"/>
          <w:szCs w:val="21"/>
        </w:rPr>
        <w:t xml:space="preserve">Rechtsgrundlage nach Art. 6 Abs. 1 lit. f DSGVO nach Abwägung der Interessen und Rechte der betroffenen Person.</w:t>
      </w:r>
    </w:p>
    <w:p>
      <w:pPr>
        <w:spacing w:after="40" w:before="160"/>
      </w:pPr>
      <w:r>
        <w:rPr>
          <w:b/>
          <w:bCs/>
          <w:color w:val="1A3E75"/>
          <w:sz w:val="22"/>
          <w:szCs w:val="22"/>
        </w:rPr>
        <w:t xml:space="preserve">DA-008  </w:t>
      </w:r>
      <w:r>
        <w:rPr>
          <w:b/>
          <w:bCs/>
          <w:sz w:val="22"/>
          <w:szCs w:val="22"/>
        </w:rPr>
        <w:t xml:space="preserve">Zweckbindung</w:t>
      </w:r>
      <w:r>
        <w:rPr>
          <w:i/>
          <w:iCs/>
          <w:color w:val="666666"/>
          <w:sz w:val="20"/>
          <w:szCs w:val="20"/>
        </w:rPr>
        <w:t xml:space="preserve">  —  Purpose Limitation</w:t>
      </w:r>
    </w:p>
    <w:p>
      <w:pPr>
        <w:spacing w:after="120"/>
      </w:pPr>
      <w:r>
        <w:rPr>
          <w:sz w:val="21"/>
          <w:szCs w:val="21"/>
        </w:rPr>
        <w:t xml:space="preserve">Grundsatz, wonach personenbezogene Daten nur zu festgelegten, eindeutigen und legitimen Zwecken verarbeitet werden dürfen.</w:t>
      </w:r>
    </w:p>
    <w:p>
      <w:pPr>
        <w:spacing w:after="40" w:before="160"/>
      </w:pPr>
      <w:r>
        <w:rPr>
          <w:b/>
          <w:bCs/>
          <w:color w:val="1A3E75"/>
          <w:sz w:val="22"/>
          <w:szCs w:val="22"/>
        </w:rPr>
        <w:t xml:space="preserve">DA-009  </w:t>
      </w:r>
      <w:r>
        <w:rPr>
          <w:b/>
          <w:bCs/>
          <w:sz w:val="22"/>
          <w:szCs w:val="22"/>
        </w:rPr>
        <w:t xml:space="preserve">Datenminimierung</w:t>
      </w:r>
      <w:r>
        <w:rPr>
          <w:i/>
          <w:iCs/>
          <w:color w:val="666666"/>
          <w:sz w:val="20"/>
          <w:szCs w:val="20"/>
        </w:rPr>
        <w:t xml:space="preserve">  —  Data Minimisation</w:t>
      </w:r>
    </w:p>
    <w:p>
      <w:pPr>
        <w:spacing w:after="120"/>
      </w:pPr>
      <w:r>
        <w:rPr>
          <w:sz w:val="21"/>
          <w:szCs w:val="21"/>
        </w:rPr>
        <w:t xml:space="preserve">Grundsatz, wonach die Verarbeitung auf das für den Zweck notwendige Maß beschränkt sein muss.</w:t>
      </w:r>
    </w:p>
    <w:p>
      <w:pPr>
        <w:spacing w:after="40" w:before="160"/>
      </w:pPr>
      <w:r>
        <w:rPr>
          <w:b/>
          <w:bCs/>
          <w:color w:val="1A3E75"/>
          <w:sz w:val="22"/>
          <w:szCs w:val="22"/>
        </w:rPr>
        <w:t xml:space="preserve">DA-010  </w:t>
      </w:r>
      <w:r>
        <w:rPr>
          <w:b/>
          <w:bCs/>
          <w:sz w:val="22"/>
          <w:szCs w:val="22"/>
        </w:rPr>
        <w:t xml:space="preserve">Speicherbegrenzung</w:t>
      </w:r>
      <w:r>
        <w:rPr>
          <w:i/>
          <w:iCs/>
          <w:color w:val="666666"/>
          <w:sz w:val="20"/>
          <w:szCs w:val="20"/>
        </w:rPr>
        <w:t xml:space="preserve">  —  Storage Limitation</w:t>
      </w:r>
    </w:p>
    <w:p>
      <w:pPr>
        <w:spacing w:after="120"/>
      </w:pPr>
      <w:r>
        <w:rPr>
          <w:sz w:val="21"/>
          <w:szCs w:val="21"/>
        </w:rPr>
        <w:t xml:space="preserve">Grundsatz, wonach personenbezogene Daten nur solange gespeichert werden dürfen, wie es für die Zwecke erforderlich ist.</w:t>
      </w:r>
    </w:p>
    <w:p>
      <w:pPr>
        <w:spacing w:after="40" w:before="160"/>
      </w:pPr>
      <w:r>
        <w:rPr>
          <w:b/>
          <w:bCs/>
          <w:color w:val="1A3E75"/>
          <w:sz w:val="22"/>
          <w:szCs w:val="22"/>
        </w:rPr>
        <w:t xml:space="preserve">DA-011  </w:t>
      </w:r>
      <w:r>
        <w:rPr>
          <w:b/>
          <w:bCs/>
          <w:sz w:val="22"/>
          <w:szCs w:val="22"/>
        </w:rPr>
        <w:t xml:space="preserve">Betroffenenrechte</w:t>
      </w:r>
      <w:r>
        <w:rPr>
          <w:i/>
          <w:iCs/>
          <w:color w:val="666666"/>
          <w:sz w:val="20"/>
          <w:szCs w:val="20"/>
        </w:rPr>
        <w:t xml:space="preserve">  —  Data Subject Rights</w:t>
      </w:r>
    </w:p>
    <w:p>
      <w:pPr>
        <w:spacing w:after="120"/>
      </w:pPr>
      <w:r>
        <w:rPr>
          <w:sz w:val="21"/>
          <w:szCs w:val="21"/>
        </w:rPr>
        <w:t xml:space="preserve">Rechte auf Auskunft, Berichtigung, Löschung, Einschränkung, Datenübertragbarkeit und Widerspruch (Art. 15–22 DSGVO).</w:t>
      </w:r>
    </w:p>
    <w:p>
      <w:pPr>
        <w:spacing w:after="40" w:before="160"/>
      </w:pPr>
      <w:r>
        <w:rPr>
          <w:b/>
          <w:bCs/>
          <w:color w:val="1A3E75"/>
          <w:sz w:val="22"/>
          <w:szCs w:val="22"/>
        </w:rPr>
        <w:t xml:space="preserve">DA-012  </w:t>
      </w:r>
      <w:r>
        <w:rPr>
          <w:b/>
          <w:bCs/>
          <w:sz w:val="22"/>
          <w:szCs w:val="22"/>
        </w:rPr>
        <w:t xml:space="preserve">Datenpanne</w:t>
      </w:r>
      <w:r>
        <w:rPr>
          <w:i/>
          <w:iCs/>
          <w:color w:val="666666"/>
          <w:sz w:val="20"/>
          <w:szCs w:val="20"/>
        </w:rPr>
        <w:t xml:space="preserve">  —  Personal Data Breach</w:t>
      </w:r>
    </w:p>
    <w:p>
      <w:pPr>
        <w:spacing w:after="120"/>
      </w:pPr>
      <w:r>
        <w:rPr>
          <w:sz w:val="21"/>
          <w:szCs w:val="21"/>
        </w:rPr>
        <w:t xml:space="preserve">Verletzung des Schutzes personenbezogener Daten nach Art. 4 Nr. 12 DSGVO.</w:t>
      </w:r>
    </w:p>
    <w:p>
      <w:pPr>
        <w:spacing w:after="40" w:before="160"/>
      </w:pPr>
      <w:r>
        <w:rPr>
          <w:b/>
          <w:bCs/>
          <w:color w:val="1A3E75"/>
          <w:sz w:val="22"/>
          <w:szCs w:val="22"/>
        </w:rPr>
        <w:t xml:space="preserve">DA-013  </w:t>
      </w:r>
      <w:r>
        <w:rPr>
          <w:b/>
          <w:bCs/>
          <w:sz w:val="22"/>
          <w:szCs w:val="22"/>
        </w:rPr>
        <w:t xml:space="preserve">Datenübermittlung in Drittländer</w:t>
      </w:r>
      <w:r>
        <w:rPr>
          <w:i/>
          <w:iCs/>
          <w:color w:val="666666"/>
          <w:sz w:val="20"/>
          <w:szCs w:val="20"/>
        </w:rPr>
        <w:t xml:space="preserve">  —  Third-Country Transfer</w:t>
      </w:r>
    </w:p>
    <w:p>
      <w:pPr>
        <w:spacing w:after="120"/>
      </w:pPr>
      <w:r>
        <w:rPr>
          <w:sz w:val="21"/>
          <w:szCs w:val="21"/>
        </w:rPr>
        <w:t xml:space="preserve">Übermittlung personenbezogener Daten in Länder außerhalb des EWR nach Kap. V DSGVO.</w:t>
      </w:r>
    </w:p>
    <w:p>
      <w:pPr>
        <w:spacing w:after="40" w:before="160"/>
      </w:pPr>
      <w:r>
        <w:rPr>
          <w:b/>
          <w:bCs/>
          <w:color w:val="1A3E75"/>
          <w:sz w:val="22"/>
          <w:szCs w:val="22"/>
        </w:rPr>
        <w:t xml:space="preserve">DA-014  </w:t>
      </w:r>
      <w:r>
        <w:rPr>
          <w:b/>
          <w:bCs/>
          <w:sz w:val="22"/>
          <w:szCs w:val="22"/>
        </w:rPr>
        <w:t xml:space="preserve">Standarddatenschutzklauseln</w:t>
      </w:r>
      <w:r>
        <w:rPr>
          <w:i/>
          <w:iCs/>
          <w:color w:val="666666"/>
          <w:sz w:val="20"/>
          <w:szCs w:val="20"/>
        </w:rPr>
        <w:t xml:space="preserve">  —  Standard Contractual Clauses</w:t>
      </w:r>
    </w:p>
    <w:p>
      <w:pPr>
        <w:spacing w:after="120"/>
      </w:pPr>
      <w:r>
        <w:rPr>
          <w:sz w:val="21"/>
          <w:szCs w:val="21"/>
        </w:rPr>
        <w:t xml:space="preserve">Von der EU-Kommission genehmigte Musterklauseln zur Absicherung von Drittlandsübermittlungen.</w:t>
      </w:r>
    </w:p>
    <w:p>
      <w:pPr>
        <w:spacing w:after="40" w:before="160"/>
      </w:pPr>
      <w:r>
        <w:rPr>
          <w:b/>
          <w:bCs/>
          <w:color w:val="1A3E75"/>
          <w:sz w:val="22"/>
          <w:szCs w:val="22"/>
        </w:rPr>
        <w:t xml:space="preserve">DA-015  </w:t>
      </w:r>
      <w:r>
        <w:rPr>
          <w:b/>
          <w:bCs/>
          <w:sz w:val="22"/>
          <w:szCs w:val="22"/>
        </w:rPr>
        <w:t xml:space="preserve">Consent-Log</w:t>
      </w:r>
      <w:r>
        <w:rPr>
          <w:i/>
          <w:iCs/>
          <w:color w:val="666666"/>
          <w:sz w:val="20"/>
          <w:szCs w:val="20"/>
        </w:rPr>
        <w:t xml:space="preserve">  —  Consent Log</w:t>
      </w:r>
    </w:p>
    <w:p>
      <w:pPr>
        <w:spacing w:after="120"/>
      </w:pPr>
      <w:r>
        <w:rPr>
          <w:sz w:val="21"/>
          <w:szCs w:val="21"/>
        </w:rPr>
        <w:t xml:space="preserve">Nachweisführung über erteilte und widerrufene Einwilligungen mit Zeitstempel und Version.</w:t>
      </w:r>
    </w:p>
    <w:p>
      <w:pPr>
        <w:spacing w:after="40" w:before="160"/>
      </w:pPr>
      <w:r>
        <w:rPr>
          <w:b/>
          <w:bCs/>
          <w:color w:val="1A3E75"/>
          <w:sz w:val="22"/>
          <w:szCs w:val="22"/>
        </w:rPr>
        <w:t xml:space="preserve">DA-016  </w:t>
      </w:r>
      <w:r>
        <w:rPr>
          <w:b/>
          <w:bCs/>
          <w:sz w:val="22"/>
          <w:szCs w:val="22"/>
        </w:rPr>
        <w:t xml:space="preserve">Cookie</w:t>
      </w:r>
      <w:r>
        <w:rPr>
          <w:i/>
          <w:iCs/>
          <w:color w:val="666666"/>
          <w:sz w:val="20"/>
          <w:szCs w:val="20"/>
        </w:rPr>
        <w:t xml:space="preserve">  —  Cookie</w:t>
      </w:r>
    </w:p>
    <w:p>
      <w:pPr>
        <w:spacing w:after="120"/>
      </w:pPr>
      <w:r>
        <w:rPr>
          <w:sz w:val="21"/>
          <w:szCs w:val="21"/>
        </w:rPr>
        <w:t xml:space="preserve">Kleine Datei, die im Endgerät eines Nutzers gespeichert wird; unterliegt dem TDDDG bzw. der ePrivacy-Regelung.</w:t>
      </w:r>
    </w:p>
    <w:p>
      <w:pPr>
        <w:spacing w:after="40" w:before="160"/>
      </w:pPr>
      <w:r>
        <w:rPr>
          <w:b/>
          <w:bCs/>
          <w:color w:val="1A3E75"/>
          <w:sz w:val="22"/>
          <w:szCs w:val="22"/>
        </w:rPr>
        <w:t xml:space="preserve">DA-017  </w:t>
      </w:r>
      <w:r>
        <w:rPr>
          <w:b/>
          <w:bCs/>
          <w:sz w:val="22"/>
          <w:szCs w:val="22"/>
        </w:rPr>
        <w:t xml:space="preserve">Analyse-Tracker</w:t>
      </w:r>
      <w:r>
        <w:rPr>
          <w:i/>
          <w:iCs/>
          <w:color w:val="666666"/>
          <w:sz w:val="20"/>
          <w:szCs w:val="20"/>
        </w:rPr>
        <w:t xml:space="preserve">  —  Analytics Tracker</w:t>
      </w:r>
    </w:p>
    <w:p>
      <w:pPr>
        <w:spacing w:after="120"/>
      </w:pPr>
      <w:r>
        <w:rPr>
          <w:sz w:val="21"/>
          <w:szCs w:val="21"/>
        </w:rPr>
        <w:t xml:space="preserve">Technologie zur Auswertung des Nutzungsverhaltens auf der Plattform; nur mit Einwilligung, soweit nicht rein technisch notwendig.</w:t>
      </w:r>
    </w:p>
    <w:p>
      <w:pPr>
        <w:spacing w:after="40" w:before="160"/>
      </w:pPr>
      <w:r>
        <w:rPr>
          <w:b/>
          <w:bCs/>
          <w:color w:val="1A3E75"/>
          <w:sz w:val="22"/>
          <w:szCs w:val="22"/>
        </w:rPr>
        <w:t xml:space="preserve">DA-018  </w:t>
      </w:r>
      <w:r>
        <w:rPr>
          <w:b/>
          <w:bCs/>
          <w:sz w:val="22"/>
          <w:szCs w:val="22"/>
        </w:rPr>
        <w:t xml:space="preserve">Datenexport</w:t>
      </w:r>
      <w:r>
        <w:rPr>
          <w:i/>
          <w:iCs/>
          <w:color w:val="666666"/>
          <w:sz w:val="20"/>
          <w:szCs w:val="20"/>
        </w:rPr>
        <w:t xml:space="preserve">  —  Data Export</w:t>
      </w:r>
    </w:p>
    <w:p>
      <w:pPr>
        <w:spacing w:after="120"/>
      </w:pPr>
      <w:r>
        <w:rPr>
          <w:sz w:val="21"/>
          <w:szCs w:val="21"/>
        </w:rPr>
        <w:t xml:space="preserve">Bereitstellung der eigenen Daten in einem strukturierten, gängigen und maschinenlesbaren Format.</w:t>
      </w:r>
    </w:p>
    <w:p>
      <w:pPr>
        <w:spacing w:after="40" w:before="160"/>
      </w:pPr>
      <w:r>
        <w:rPr>
          <w:b/>
          <w:bCs/>
          <w:color w:val="1A3E75"/>
          <w:sz w:val="22"/>
          <w:szCs w:val="22"/>
        </w:rPr>
        <w:t xml:space="preserve">DA-019  </w:t>
      </w:r>
      <w:r>
        <w:rPr>
          <w:b/>
          <w:bCs/>
          <w:sz w:val="22"/>
          <w:szCs w:val="22"/>
        </w:rPr>
        <w:t xml:space="preserve">Löschanforderung</w:t>
      </w:r>
      <w:r>
        <w:rPr>
          <w:i/>
          <w:iCs/>
          <w:color w:val="666666"/>
          <w:sz w:val="20"/>
          <w:szCs w:val="20"/>
        </w:rPr>
        <w:t xml:space="preserve">  —  Erasure Request</w:t>
      </w:r>
    </w:p>
    <w:p>
      <w:pPr>
        <w:spacing w:after="120"/>
      </w:pPr>
      <w:r>
        <w:rPr>
          <w:sz w:val="21"/>
          <w:szCs w:val="21"/>
        </w:rPr>
        <w:t xml:space="preserve">Antrag einer betroffenen Person auf Löschung ihrer personenbezogenen Daten nach Art. 17 DSGVO.</w:t>
      </w:r>
    </w:p>
    <w:p>
      <w:pPr>
        <w:spacing w:after="40" w:before="160"/>
      </w:pPr>
      <w:r>
        <w:rPr>
          <w:b/>
          <w:bCs/>
          <w:color w:val="1A3E75"/>
          <w:sz w:val="22"/>
          <w:szCs w:val="22"/>
        </w:rPr>
        <w:t xml:space="preserve">DA-020  </w:t>
      </w:r>
      <w:r>
        <w:rPr>
          <w:b/>
          <w:bCs/>
          <w:sz w:val="22"/>
          <w:szCs w:val="22"/>
        </w:rPr>
        <w:t xml:space="preserve">Aufbewahrungsplan</w:t>
      </w:r>
      <w:r>
        <w:rPr>
          <w:i/>
          <w:iCs/>
          <w:color w:val="666666"/>
          <w:sz w:val="20"/>
          <w:szCs w:val="20"/>
        </w:rPr>
        <w:t xml:space="preserve">  —  Retention Schedule</w:t>
      </w:r>
    </w:p>
    <w:p>
      <w:pPr>
        <w:spacing w:after="120"/>
      </w:pPr>
      <w:r>
        <w:rPr>
          <w:sz w:val="21"/>
          <w:szCs w:val="21"/>
        </w:rPr>
        <w:t xml:space="preserve">Katalog aller Datenarten mit Angabe der jeweiligen Aufbewahrungsdauer, Rechtsgrundlage und Verantwortlichkeit.</w:t>
      </w:r>
    </w:p>
    <w:p>
      <w:pPr>
        <w:pStyle w:val="Heading2"/>
      </w:pPr>
      <w:r>
        <w:t xml:space="preserve">CO · Compliance &amp; Regulatorik</w:t>
      </w:r>
    </w:p>
    <w:p>
      <w:pPr>
        <w:spacing w:after="40" w:before="160"/>
      </w:pPr>
      <w:r>
        <w:rPr>
          <w:b/>
          <w:bCs/>
          <w:color w:val="1A3E75"/>
          <w:sz w:val="22"/>
          <w:szCs w:val="22"/>
        </w:rPr>
        <w:t xml:space="preserve">CO-001  </w:t>
      </w:r>
      <w:r>
        <w:rPr>
          <w:b/>
          <w:bCs/>
          <w:sz w:val="22"/>
          <w:szCs w:val="22"/>
        </w:rPr>
        <w:t xml:space="preserve">AGB-Kontrolle</w:t>
      </w:r>
      <w:r>
        <w:rPr>
          <w:i/>
          <w:iCs/>
          <w:color w:val="666666"/>
          <w:sz w:val="20"/>
          <w:szCs w:val="20"/>
        </w:rPr>
        <w:t xml:space="preserve">  —  Terms Control (BGB)</w:t>
      </w:r>
    </w:p>
    <w:p>
      <w:pPr>
        <w:spacing w:after="120"/>
      </w:pPr>
      <w:r>
        <w:rPr>
          <w:sz w:val="21"/>
          <w:szCs w:val="21"/>
        </w:rPr>
        <w:t xml:space="preserve">Prüfung Allgemeiner Geschäftsbedingungen nach §§ 305 ff. BGB auf Transparenz und Wirksamkeit.</w:t>
      </w:r>
    </w:p>
    <w:p>
      <w:pPr>
        <w:spacing w:after="40" w:before="160"/>
      </w:pPr>
      <w:r>
        <w:rPr>
          <w:b/>
          <w:bCs/>
          <w:color w:val="1A3E75"/>
          <w:sz w:val="22"/>
          <w:szCs w:val="22"/>
        </w:rPr>
        <w:t xml:space="preserve">CO-002  </w:t>
      </w:r>
      <w:r>
        <w:rPr>
          <w:b/>
          <w:bCs/>
          <w:sz w:val="22"/>
          <w:szCs w:val="22"/>
        </w:rPr>
        <w:t xml:space="preserve">Widerrufsrecht</w:t>
      </w:r>
      <w:r>
        <w:rPr>
          <w:i/>
          <w:iCs/>
          <w:color w:val="666666"/>
          <w:sz w:val="20"/>
          <w:szCs w:val="20"/>
        </w:rPr>
        <w:t xml:space="preserve">  —  Right of Withdrawal</w:t>
      </w:r>
    </w:p>
    <w:p>
      <w:pPr>
        <w:spacing w:after="120"/>
      </w:pPr>
      <w:r>
        <w:rPr>
          <w:sz w:val="21"/>
          <w:szCs w:val="21"/>
        </w:rPr>
        <w:t xml:space="preserve">Verbrauchern zustehendes Recht zur Rückabwicklung von im Fernabsatz geschlossenen Verträgen nach §§ 355 ff., 312g BGB.</w:t>
      </w:r>
    </w:p>
    <w:p>
      <w:pPr>
        <w:spacing w:after="40" w:before="160"/>
      </w:pPr>
      <w:r>
        <w:rPr>
          <w:b/>
          <w:bCs/>
          <w:color w:val="1A3E75"/>
          <w:sz w:val="22"/>
          <w:szCs w:val="22"/>
        </w:rPr>
        <w:t xml:space="preserve">CO-003  </w:t>
      </w:r>
      <w:r>
        <w:rPr>
          <w:b/>
          <w:bCs/>
          <w:sz w:val="22"/>
          <w:szCs w:val="22"/>
        </w:rPr>
        <w:t xml:space="preserve">Widerrufsbelehrung</w:t>
      </w:r>
      <w:r>
        <w:rPr>
          <w:i/>
          <w:iCs/>
          <w:color w:val="666666"/>
          <w:sz w:val="20"/>
          <w:szCs w:val="20"/>
        </w:rPr>
        <w:t xml:space="preserve">  —  Withdrawal Instructions</w:t>
      </w:r>
    </w:p>
    <w:p>
      <w:pPr>
        <w:spacing w:after="120"/>
      </w:pPr>
      <w:r>
        <w:rPr>
          <w:sz w:val="21"/>
          <w:szCs w:val="21"/>
        </w:rPr>
        <w:t xml:space="preserve">Verbindliche Belehrung über das Widerrufsrecht in gesetzlich vorgeschriebener Form.</w:t>
      </w:r>
    </w:p>
    <w:p>
      <w:pPr>
        <w:spacing w:after="40" w:before="160"/>
      </w:pPr>
      <w:r>
        <w:rPr>
          <w:b/>
          <w:bCs/>
          <w:color w:val="1A3E75"/>
          <w:sz w:val="22"/>
          <w:szCs w:val="22"/>
        </w:rPr>
        <w:t xml:space="preserve">CO-004  </w:t>
      </w:r>
      <w:r>
        <w:rPr>
          <w:b/>
          <w:bCs/>
          <w:sz w:val="22"/>
          <w:szCs w:val="22"/>
        </w:rPr>
        <w:t xml:space="preserve">Muster-Widerrufsformular</w:t>
      </w:r>
      <w:r>
        <w:rPr>
          <w:i/>
          <w:iCs/>
          <w:color w:val="666666"/>
          <w:sz w:val="20"/>
          <w:szCs w:val="20"/>
        </w:rPr>
        <w:t xml:space="preserve">  —  Model Withdrawal Form</w:t>
      </w:r>
    </w:p>
    <w:p>
      <w:pPr>
        <w:spacing w:after="120"/>
      </w:pPr>
      <w:r>
        <w:rPr>
          <w:sz w:val="21"/>
          <w:szCs w:val="21"/>
        </w:rPr>
        <w:t xml:space="preserve">Vom Gesetzgeber vorgegebenes Formular zur Erklärung des Widerrufs.</w:t>
      </w:r>
    </w:p>
    <w:p>
      <w:pPr>
        <w:spacing w:after="40" w:before="160"/>
      </w:pPr>
      <w:r>
        <w:rPr>
          <w:b/>
          <w:bCs/>
          <w:color w:val="1A3E75"/>
          <w:sz w:val="22"/>
          <w:szCs w:val="22"/>
        </w:rPr>
        <w:t xml:space="preserve">CO-005  </w:t>
      </w:r>
      <w:r>
        <w:rPr>
          <w:b/>
          <w:bCs/>
          <w:sz w:val="22"/>
          <w:szCs w:val="22"/>
        </w:rPr>
        <w:t xml:space="preserve">Preisangabenverordnung</w:t>
      </w:r>
      <w:r>
        <w:rPr>
          <w:i/>
          <w:iCs/>
          <w:color w:val="666666"/>
          <w:sz w:val="20"/>
          <w:szCs w:val="20"/>
        </w:rPr>
        <w:t xml:space="preserve">  —  German Price Indication Ordinance (PAngV)</w:t>
      </w:r>
    </w:p>
    <w:p>
      <w:pPr>
        <w:spacing w:after="120"/>
      </w:pPr>
      <w:r>
        <w:rPr>
          <w:sz w:val="21"/>
          <w:szCs w:val="21"/>
        </w:rPr>
        <w:t xml:space="preserve">Verordnung zur Angabe von Preisen im geschäftlichen Verkehr mit Verbrauchern.</w:t>
      </w:r>
    </w:p>
    <w:p>
      <w:pPr>
        <w:spacing w:after="40" w:before="160"/>
      </w:pPr>
      <w:r>
        <w:rPr>
          <w:b/>
          <w:bCs/>
          <w:color w:val="1A3E75"/>
          <w:sz w:val="22"/>
          <w:szCs w:val="22"/>
        </w:rPr>
        <w:t xml:space="preserve">CO-006  </w:t>
      </w:r>
      <w:r>
        <w:rPr>
          <w:b/>
          <w:bCs/>
          <w:sz w:val="22"/>
          <w:szCs w:val="22"/>
        </w:rPr>
        <w:t xml:space="preserve">Digital Services Act</w:t>
      </w:r>
      <w:r>
        <w:rPr>
          <w:i/>
          <w:iCs/>
          <w:color w:val="666666"/>
          <w:sz w:val="20"/>
          <w:szCs w:val="20"/>
        </w:rPr>
        <w:t xml:space="preserve">  —  Digital Services Act</w:t>
      </w:r>
    </w:p>
    <w:p>
      <w:pPr>
        <w:spacing w:after="120"/>
      </w:pPr>
      <w:r>
        <w:rPr>
          <w:sz w:val="21"/>
          <w:szCs w:val="21"/>
        </w:rPr>
        <w:t xml:space="preserve">Verordnung (EU) 2022/2065 über einen Binnenmarkt für digitale Dienste, insbesondere Regelungen zu Vermittlungsdiensten.</w:t>
      </w:r>
    </w:p>
    <w:p>
      <w:pPr>
        <w:spacing w:after="40" w:before="160"/>
      </w:pPr>
      <w:r>
        <w:rPr>
          <w:b/>
          <w:bCs/>
          <w:color w:val="1A3E75"/>
          <w:sz w:val="22"/>
          <w:szCs w:val="22"/>
        </w:rPr>
        <w:t xml:space="preserve">CO-007  </w:t>
      </w:r>
      <w:r>
        <w:rPr>
          <w:b/>
          <w:bCs/>
          <w:sz w:val="22"/>
          <w:szCs w:val="22"/>
        </w:rPr>
        <w:t xml:space="preserve">P2B-Verordnung</w:t>
      </w:r>
      <w:r>
        <w:rPr>
          <w:i/>
          <w:iCs/>
          <w:color w:val="666666"/>
          <w:sz w:val="20"/>
          <w:szCs w:val="20"/>
        </w:rPr>
        <w:t xml:space="preserve">  —  Platform-to-Business Regulation</w:t>
      </w:r>
    </w:p>
    <w:p>
      <w:pPr>
        <w:spacing w:after="120"/>
      </w:pPr>
      <w:r>
        <w:rPr>
          <w:sz w:val="21"/>
          <w:szCs w:val="21"/>
        </w:rPr>
        <w:t xml:space="preserve">Verordnung (EU) 2019/1150 zur Förderung von Fairness und Transparenz für gewerbliche Nutzer von Online-Vermittlungsdiensten.</w:t>
      </w:r>
    </w:p>
    <w:p>
      <w:pPr>
        <w:spacing w:after="40" w:before="160"/>
      </w:pPr>
      <w:r>
        <w:rPr>
          <w:b/>
          <w:bCs/>
          <w:color w:val="1A3E75"/>
          <w:sz w:val="22"/>
          <w:szCs w:val="22"/>
        </w:rPr>
        <w:t xml:space="preserve">CO-008  </w:t>
      </w:r>
      <w:r>
        <w:rPr>
          <w:b/>
          <w:bCs/>
          <w:sz w:val="22"/>
          <w:szCs w:val="22"/>
        </w:rPr>
        <w:t xml:space="preserve">TDDDG</w:t>
      </w:r>
      <w:r>
        <w:rPr>
          <w:i/>
          <w:iCs/>
          <w:color w:val="666666"/>
          <w:sz w:val="20"/>
          <w:szCs w:val="20"/>
        </w:rPr>
        <w:t xml:space="preserve">  —  German Telecommunications-Telemedia Data Protection Act</w:t>
      </w:r>
    </w:p>
    <w:p>
      <w:pPr>
        <w:spacing w:after="120"/>
      </w:pPr>
      <w:r>
        <w:rPr>
          <w:sz w:val="21"/>
          <w:szCs w:val="21"/>
        </w:rPr>
        <w:t xml:space="preserve">Gesetz zur Regelung der Nutzung von Cookies und ähnlichen Technologien.</w:t>
      </w:r>
    </w:p>
    <w:p>
      <w:pPr>
        <w:spacing w:after="40" w:before="160"/>
      </w:pPr>
      <w:r>
        <w:rPr>
          <w:b/>
          <w:bCs/>
          <w:color w:val="1A3E75"/>
          <w:sz w:val="22"/>
          <w:szCs w:val="22"/>
        </w:rPr>
        <w:t xml:space="preserve">CO-009  </w:t>
      </w:r>
      <w:r>
        <w:rPr>
          <w:b/>
          <w:bCs/>
          <w:sz w:val="22"/>
          <w:szCs w:val="22"/>
        </w:rPr>
        <w:t xml:space="preserve">GwG</w:t>
      </w:r>
      <w:r>
        <w:rPr>
          <w:i/>
          <w:iCs/>
          <w:color w:val="666666"/>
          <w:sz w:val="20"/>
          <w:szCs w:val="20"/>
        </w:rPr>
        <w:t xml:space="preserve">  —  German Anti-Money Laundering Act</w:t>
      </w:r>
    </w:p>
    <w:p>
      <w:pPr>
        <w:spacing w:after="120"/>
      </w:pPr>
      <w:r>
        <w:rPr>
          <w:sz w:val="21"/>
          <w:szCs w:val="21"/>
        </w:rPr>
        <w:t xml:space="preserve">Geldwäschegesetz mit Anforderungen an KYC, PEP-Screening und Verdachtsmeldungen.</w:t>
      </w:r>
    </w:p>
    <w:p>
      <w:pPr>
        <w:spacing w:after="40" w:before="160"/>
      </w:pPr>
      <w:r>
        <w:rPr>
          <w:b/>
          <w:bCs/>
          <w:color w:val="1A3E75"/>
          <w:sz w:val="22"/>
          <w:szCs w:val="22"/>
        </w:rPr>
        <w:t xml:space="preserve">CO-010  </w:t>
      </w:r>
      <w:r>
        <w:rPr>
          <w:b/>
          <w:bCs/>
          <w:sz w:val="22"/>
          <w:szCs w:val="22"/>
        </w:rPr>
        <w:t xml:space="preserve">GoBD</w:t>
      </w:r>
      <w:r>
        <w:rPr>
          <w:i/>
          <w:iCs/>
          <w:color w:val="666666"/>
          <w:sz w:val="20"/>
          <w:szCs w:val="20"/>
        </w:rPr>
        <w:t xml:space="preserve">  —  GoBD (German Accounting Retention Principles)</w:t>
      </w:r>
    </w:p>
    <w:p>
      <w:pPr>
        <w:spacing w:after="120"/>
      </w:pPr>
      <w:r>
        <w:rPr>
          <w:sz w:val="21"/>
          <w:szCs w:val="21"/>
        </w:rPr>
        <w:t xml:space="preserve">Grundsätze zur ordnungsmäßigen Führung und Aufbewahrung von Büchern, Aufzeichnungen und Unterlagen in elektronischer Form.</w:t>
      </w:r>
    </w:p>
    <w:p>
      <w:pPr>
        <w:spacing w:after="40" w:before="160"/>
      </w:pPr>
      <w:r>
        <w:rPr>
          <w:b/>
          <w:bCs/>
          <w:color w:val="1A3E75"/>
          <w:sz w:val="22"/>
          <w:szCs w:val="22"/>
        </w:rPr>
        <w:t xml:space="preserve">CO-011  </w:t>
      </w:r>
      <w:r>
        <w:rPr>
          <w:b/>
          <w:bCs/>
          <w:sz w:val="22"/>
          <w:szCs w:val="22"/>
        </w:rPr>
        <w:t xml:space="preserve">VAG-Screening</w:t>
      </w:r>
      <w:r>
        <w:rPr>
          <w:i/>
          <w:iCs/>
          <w:color w:val="666666"/>
          <w:sz w:val="20"/>
          <w:szCs w:val="20"/>
        </w:rPr>
        <w:t xml:space="preserve">  —  Insurance Regulation Screening</w:t>
      </w:r>
    </w:p>
    <w:p>
      <w:pPr>
        <w:spacing w:after="120"/>
      </w:pPr>
      <w:r>
        <w:rPr>
          <w:sz w:val="21"/>
          <w:szCs w:val="21"/>
        </w:rPr>
        <w:t xml:space="preserve">Interne Prüfung, ob ein Protection Plan als Versicherungsprodukt im Sinne des VAG einzustufen ist; Ergebnis bestimmt Ausgestaltung und Vertriebsweg.</w:t>
      </w:r>
    </w:p>
    <w:p>
      <w:pPr>
        <w:spacing w:after="40" w:before="160"/>
      </w:pPr>
      <w:r>
        <w:rPr>
          <w:b/>
          <w:bCs/>
          <w:color w:val="1A3E75"/>
          <w:sz w:val="22"/>
          <w:szCs w:val="22"/>
        </w:rPr>
        <w:t xml:space="preserve">CO-012  </w:t>
      </w:r>
      <w:r>
        <w:rPr>
          <w:b/>
          <w:bCs/>
          <w:sz w:val="22"/>
          <w:szCs w:val="22"/>
        </w:rPr>
        <w:t xml:space="preserve">Konformitätserklärung</w:t>
      </w:r>
      <w:r>
        <w:rPr>
          <w:i/>
          <w:iCs/>
          <w:color w:val="666666"/>
          <w:sz w:val="20"/>
          <w:szCs w:val="20"/>
        </w:rPr>
        <w:t xml:space="preserve">  —  Declaration of Conformity</w:t>
      </w:r>
    </w:p>
    <w:p>
      <w:pPr>
        <w:spacing w:after="120"/>
      </w:pPr>
      <w:r>
        <w:rPr>
          <w:sz w:val="21"/>
          <w:szCs w:val="21"/>
        </w:rPr>
        <w:t xml:space="preserve">Bestätigung des Herstellers oder Inverkehrbringers zur Einhaltung produktrechtlicher Vorgaben.</w:t>
      </w:r>
    </w:p>
    <w:p>
      <w:pPr>
        <w:spacing w:after="40" w:before="160"/>
      </w:pPr>
      <w:r>
        <w:rPr>
          <w:b/>
          <w:bCs/>
          <w:color w:val="1A3E75"/>
          <w:sz w:val="22"/>
          <w:szCs w:val="22"/>
        </w:rPr>
        <w:t xml:space="preserve">CO-013  </w:t>
      </w:r>
      <w:r>
        <w:rPr>
          <w:b/>
          <w:bCs/>
          <w:sz w:val="22"/>
          <w:szCs w:val="22"/>
        </w:rPr>
        <w:t xml:space="preserve">CE-Kennzeichen</w:t>
      </w:r>
      <w:r>
        <w:rPr>
          <w:i/>
          <w:iCs/>
          <w:color w:val="666666"/>
          <w:sz w:val="20"/>
          <w:szCs w:val="20"/>
        </w:rPr>
        <w:t xml:space="preserve">  —  CE Marking</w:t>
      </w:r>
    </w:p>
    <w:p>
      <w:pPr>
        <w:spacing w:after="120"/>
      </w:pPr>
      <w:r>
        <w:rPr>
          <w:sz w:val="21"/>
          <w:szCs w:val="21"/>
        </w:rPr>
        <w:t xml:space="preserve">Kennzeichnung, mit der der Hersteller die Konformität mit einschlägigen EU-Richtlinien erklärt.</w:t>
      </w:r>
    </w:p>
    <w:p>
      <w:pPr>
        <w:spacing w:after="40" w:before="160"/>
      </w:pPr>
      <w:r>
        <w:rPr>
          <w:b/>
          <w:bCs/>
          <w:color w:val="1A3E75"/>
          <w:sz w:val="22"/>
          <w:szCs w:val="22"/>
        </w:rPr>
        <w:t xml:space="preserve">CO-014  </w:t>
      </w:r>
      <w:r>
        <w:rPr>
          <w:b/>
          <w:bCs/>
          <w:sz w:val="22"/>
          <w:szCs w:val="22"/>
        </w:rPr>
        <w:t xml:space="preserve">Marktüberwachung</w:t>
      </w:r>
      <w:r>
        <w:rPr>
          <w:i/>
          <w:iCs/>
          <w:color w:val="666666"/>
          <w:sz w:val="20"/>
          <w:szCs w:val="20"/>
        </w:rPr>
        <w:t xml:space="preserve">  —  Market Surveillance</w:t>
      </w:r>
    </w:p>
    <w:p>
      <w:pPr>
        <w:spacing w:after="120"/>
      </w:pPr>
      <w:r>
        <w:rPr>
          <w:sz w:val="21"/>
          <w:szCs w:val="21"/>
        </w:rPr>
        <w:t xml:space="preserve">Tätigkeit der Behörden zur Überwachung der Konformität von Produkten im EU-Binnenmarkt.</w:t>
      </w:r>
    </w:p>
    <w:p>
      <w:pPr>
        <w:spacing w:after="40" w:before="160"/>
      </w:pPr>
      <w:r>
        <w:rPr>
          <w:b/>
          <w:bCs/>
          <w:color w:val="1A3E75"/>
          <w:sz w:val="22"/>
          <w:szCs w:val="22"/>
        </w:rPr>
        <w:t xml:space="preserve">CO-015  </w:t>
      </w:r>
      <w:r>
        <w:rPr>
          <w:b/>
          <w:bCs/>
          <w:sz w:val="22"/>
          <w:szCs w:val="22"/>
        </w:rPr>
        <w:t xml:space="preserve">Produktsicherheitsverordnung (GPSR)</w:t>
      </w:r>
      <w:r>
        <w:rPr>
          <w:i/>
          <w:iCs/>
          <w:color w:val="666666"/>
          <w:sz w:val="20"/>
          <w:szCs w:val="20"/>
        </w:rPr>
        <w:t xml:space="preserve">  —  General Product Safety Regulation</w:t>
      </w:r>
    </w:p>
    <w:p>
      <w:pPr>
        <w:spacing w:after="120"/>
      </w:pPr>
      <w:r>
        <w:rPr>
          <w:sz w:val="21"/>
          <w:szCs w:val="21"/>
        </w:rPr>
        <w:t xml:space="preserve">Verordnung (EU) 2023/988 über die allgemeine Produktsicherheit.</w:t>
      </w:r>
    </w:p>
    <w:p>
      <w:pPr>
        <w:spacing w:after="40" w:before="160"/>
      </w:pPr>
      <w:r>
        <w:rPr>
          <w:b/>
          <w:bCs/>
          <w:color w:val="1A3E75"/>
          <w:sz w:val="22"/>
          <w:szCs w:val="22"/>
        </w:rPr>
        <w:t xml:space="preserve">CO-016  </w:t>
      </w:r>
      <w:r>
        <w:rPr>
          <w:b/>
          <w:bCs/>
          <w:sz w:val="22"/>
          <w:szCs w:val="22"/>
        </w:rPr>
        <w:t xml:space="preserve">ElektroG</w:t>
      </w:r>
      <w:r>
        <w:rPr>
          <w:i/>
          <w:iCs/>
          <w:color w:val="666666"/>
          <w:sz w:val="20"/>
          <w:szCs w:val="20"/>
        </w:rPr>
        <w:t xml:space="preserve">  —  German Electrical Equipment Act</w:t>
      </w:r>
    </w:p>
    <w:p>
      <w:pPr>
        <w:spacing w:after="120"/>
      </w:pPr>
      <w:r>
        <w:rPr>
          <w:sz w:val="21"/>
          <w:szCs w:val="21"/>
        </w:rPr>
        <w:t xml:space="preserve">Gesetz über das Inverkehrbringen, die Rücknahme und die umweltverträgliche Entsorgung von Elektro- und Elektronikgeräten.</w:t>
      </w:r>
    </w:p>
    <w:p>
      <w:pPr>
        <w:spacing w:after="40" w:before="160"/>
      </w:pPr>
      <w:r>
        <w:rPr>
          <w:b/>
          <w:bCs/>
          <w:color w:val="1A3E75"/>
          <w:sz w:val="22"/>
          <w:szCs w:val="22"/>
        </w:rPr>
        <w:t xml:space="preserve">CO-017  </w:t>
      </w:r>
      <w:r>
        <w:rPr>
          <w:b/>
          <w:bCs/>
          <w:sz w:val="22"/>
          <w:szCs w:val="22"/>
        </w:rPr>
        <w:t xml:space="preserve">BattG</w:t>
      </w:r>
      <w:r>
        <w:rPr>
          <w:i/>
          <w:iCs/>
          <w:color w:val="666666"/>
          <w:sz w:val="20"/>
          <w:szCs w:val="20"/>
        </w:rPr>
        <w:t xml:space="preserve">  —  German Battery Act</w:t>
      </w:r>
    </w:p>
    <w:p>
      <w:pPr>
        <w:spacing w:after="120"/>
      </w:pPr>
      <w:r>
        <w:rPr>
          <w:sz w:val="21"/>
          <w:szCs w:val="21"/>
        </w:rPr>
        <w:t xml:space="preserve">Gesetz zur Regelung des Inverkehrbringens, der Rücknahme und der umweltverträglichen Entsorgung von Batterien und Akkumulatoren.</w:t>
      </w:r>
    </w:p>
    <w:p>
      <w:pPr>
        <w:spacing w:after="40" w:before="160"/>
      </w:pPr>
      <w:r>
        <w:rPr>
          <w:b/>
          <w:bCs/>
          <w:color w:val="1A3E75"/>
          <w:sz w:val="22"/>
          <w:szCs w:val="22"/>
        </w:rPr>
        <w:t xml:space="preserve">CO-018  </w:t>
      </w:r>
      <w:r>
        <w:rPr>
          <w:b/>
          <w:bCs/>
          <w:sz w:val="22"/>
          <w:szCs w:val="22"/>
        </w:rPr>
        <w:t xml:space="preserve">Verpackungsgesetz</w:t>
      </w:r>
      <w:r>
        <w:rPr>
          <w:i/>
          <w:iCs/>
          <w:color w:val="666666"/>
          <w:sz w:val="20"/>
          <w:szCs w:val="20"/>
        </w:rPr>
        <w:t xml:space="preserve">  —  German Packaging Act</w:t>
      </w:r>
    </w:p>
    <w:p>
      <w:pPr>
        <w:spacing w:after="120"/>
      </w:pPr>
      <w:r>
        <w:rPr>
          <w:sz w:val="21"/>
          <w:szCs w:val="21"/>
        </w:rPr>
        <w:t xml:space="preserve">Gesetz über das Inverkehrbringen, die Rücknahme und die hochwertige Verwertung von Verpackungen.</w:t>
      </w:r>
    </w:p>
    <w:p>
      <w:pPr>
        <w:pStyle w:val="Heading2"/>
      </w:pPr>
      <w:r>
        <w:t xml:space="preserve">RK · Risiko, Missbrauch &amp; Betrug</w:t>
      </w:r>
    </w:p>
    <w:p>
      <w:pPr>
        <w:spacing w:after="40" w:before="160"/>
      </w:pPr>
      <w:r>
        <w:rPr>
          <w:b/>
          <w:bCs/>
          <w:color w:val="1A3E75"/>
          <w:sz w:val="22"/>
          <w:szCs w:val="22"/>
        </w:rPr>
        <w:t xml:space="preserve">RK-001  </w:t>
      </w:r>
      <w:r>
        <w:rPr>
          <w:b/>
          <w:bCs/>
          <w:sz w:val="22"/>
          <w:szCs w:val="22"/>
        </w:rPr>
        <w:t xml:space="preserve">Risikoprofil</w:t>
      </w:r>
      <w:r>
        <w:rPr>
          <w:i/>
          <w:iCs/>
          <w:color w:val="666666"/>
          <w:sz w:val="20"/>
          <w:szCs w:val="20"/>
        </w:rPr>
        <w:t xml:space="preserve">  —  Risk Profile</w:t>
      </w:r>
    </w:p>
    <w:p>
      <w:pPr>
        <w:spacing w:after="120"/>
      </w:pPr>
      <w:r>
        <w:rPr>
          <w:sz w:val="21"/>
          <w:szCs w:val="21"/>
        </w:rPr>
        <w:t xml:space="preserve">Aggregierte Bewertung eines Kunden, Vendors oder Vorgangs anhand definierter Merkmale zur Ableitung von Kautions-, Zahlungs- und Prüfregeln.</w:t>
      </w:r>
    </w:p>
    <w:p>
      <w:pPr>
        <w:spacing w:after="40" w:before="160"/>
      </w:pPr>
      <w:r>
        <w:rPr>
          <w:b/>
          <w:bCs/>
          <w:color w:val="1A3E75"/>
          <w:sz w:val="22"/>
          <w:szCs w:val="22"/>
        </w:rPr>
        <w:t xml:space="preserve">RK-002  </w:t>
      </w:r>
      <w:r>
        <w:rPr>
          <w:b/>
          <w:bCs/>
          <w:sz w:val="22"/>
          <w:szCs w:val="22"/>
        </w:rPr>
        <w:t xml:space="preserve">Risikoscore</w:t>
      </w:r>
      <w:r>
        <w:rPr>
          <w:i/>
          <w:iCs/>
          <w:color w:val="666666"/>
          <w:sz w:val="20"/>
          <w:szCs w:val="20"/>
        </w:rPr>
        <w:t xml:space="preserve">  —  Risk Score</w:t>
      </w:r>
    </w:p>
    <w:p>
      <w:pPr>
        <w:spacing w:after="120"/>
      </w:pPr>
      <w:r>
        <w:rPr>
          <w:sz w:val="21"/>
          <w:szCs w:val="21"/>
        </w:rPr>
        <w:t xml:space="preserve">Numerischer Wert des Risikoprofils, der Grenzwerte und Aktionen (Freigabe, Prüfung, Ablehnung) steuert.</w:t>
      </w:r>
    </w:p>
    <w:p>
      <w:pPr>
        <w:spacing w:after="40" w:before="160"/>
      </w:pPr>
      <w:r>
        <w:rPr>
          <w:b/>
          <w:bCs/>
          <w:color w:val="1A3E75"/>
          <w:sz w:val="22"/>
          <w:szCs w:val="22"/>
        </w:rPr>
        <w:t xml:space="preserve">RK-003  </w:t>
      </w:r>
      <w:r>
        <w:rPr>
          <w:b/>
          <w:bCs/>
          <w:sz w:val="22"/>
          <w:szCs w:val="22"/>
        </w:rPr>
        <w:t xml:space="preserve">Missbrauch</w:t>
      </w:r>
      <w:r>
        <w:rPr>
          <w:i/>
          <w:iCs/>
          <w:color w:val="666666"/>
          <w:sz w:val="20"/>
          <w:szCs w:val="20"/>
        </w:rPr>
        <w:t xml:space="preserve">  —  Abuse</w:t>
      </w:r>
    </w:p>
    <w:p>
      <w:pPr>
        <w:spacing w:after="120"/>
      </w:pPr>
      <w:r>
        <w:rPr>
          <w:sz w:val="21"/>
          <w:szCs w:val="21"/>
        </w:rPr>
        <w:t xml:space="preserve">Nutzung der Plattform entgegen den vertraglichen Vorgaben, insbesondere zur Umgehung von Sicherheits-, Preis- oder Kautionsregeln.</w:t>
      </w:r>
    </w:p>
    <w:p>
      <w:pPr>
        <w:spacing w:after="40" w:before="160"/>
      </w:pPr>
      <w:r>
        <w:rPr>
          <w:b/>
          <w:bCs/>
          <w:color w:val="1A3E75"/>
          <w:sz w:val="22"/>
          <w:szCs w:val="22"/>
        </w:rPr>
        <w:t xml:space="preserve">RK-004  </w:t>
      </w:r>
      <w:r>
        <w:rPr>
          <w:b/>
          <w:bCs/>
          <w:sz w:val="22"/>
          <w:szCs w:val="22"/>
        </w:rPr>
        <w:t xml:space="preserve">Betrug</w:t>
      </w:r>
      <w:r>
        <w:rPr>
          <w:i/>
          <w:iCs/>
          <w:color w:val="666666"/>
          <w:sz w:val="20"/>
          <w:szCs w:val="20"/>
        </w:rPr>
        <w:t xml:space="preserve">  —  Fraud</w:t>
      </w:r>
    </w:p>
    <w:p>
      <w:pPr>
        <w:spacing w:after="120"/>
      </w:pPr>
      <w:r>
        <w:rPr>
          <w:sz w:val="21"/>
          <w:szCs w:val="21"/>
        </w:rPr>
        <w:t xml:space="preserve">Vorsätzliche Täuschung mit dem Ziel eines rechtswidrigen Vermögensvorteils; berechtigt zu sofortiger Sperrung und Strafanzeige.</w:t>
      </w:r>
    </w:p>
    <w:p>
      <w:pPr>
        <w:spacing w:after="40" w:before="160"/>
      </w:pPr>
      <w:r>
        <w:rPr>
          <w:b/>
          <w:bCs/>
          <w:color w:val="1A3E75"/>
          <w:sz w:val="22"/>
          <w:szCs w:val="22"/>
        </w:rPr>
        <w:t xml:space="preserve">RK-005  </w:t>
      </w:r>
      <w:r>
        <w:rPr>
          <w:b/>
          <w:bCs/>
          <w:sz w:val="22"/>
          <w:szCs w:val="22"/>
        </w:rPr>
        <w:t xml:space="preserve">Multi-Account</w:t>
      </w:r>
      <w:r>
        <w:rPr>
          <w:i/>
          <w:iCs/>
          <w:color w:val="666666"/>
          <w:sz w:val="20"/>
          <w:szCs w:val="20"/>
        </w:rPr>
        <w:t xml:space="preserve">  —  Multi-Accounting</w:t>
      </w:r>
    </w:p>
    <w:p>
      <w:pPr>
        <w:spacing w:after="120"/>
      </w:pPr>
      <w:r>
        <w:rPr>
          <w:sz w:val="21"/>
          <w:szCs w:val="21"/>
        </w:rPr>
        <w:t xml:space="preserve">Nutzung mehrerer Konten durch dieselbe Person oder Organisation zur Umgehung von Sperren, Limits oder Rabatten; verboten.</w:t>
      </w:r>
    </w:p>
    <w:p>
      <w:pPr>
        <w:spacing w:after="40" w:before="160"/>
      </w:pPr>
      <w:r>
        <w:rPr>
          <w:b/>
          <w:bCs/>
          <w:color w:val="1A3E75"/>
          <w:sz w:val="22"/>
          <w:szCs w:val="22"/>
        </w:rPr>
        <w:t xml:space="preserve">RK-006  </w:t>
      </w:r>
      <w:r>
        <w:rPr>
          <w:b/>
          <w:bCs/>
          <w:sz w:val="22"/>
          <w:szCs w:val="22"/>
        </w:rPr>
        <w:t xml:space="preserve">Kartentest</w:t>
      </w:r>
      <w:r>
        <w:rPr>
          <w:i/>
          <w:iCs/>
          <w:color w:val="666666"/>
          <w:sz w:val="20"/>
          <w:szCs w:val="20"/>
        </w:rPr>
        <w:t xml:space="preserve">  —  Card Testing</w:t>
      </w:r>
    </w:p>
    <w:p>
      <w:pPr>
        <w:spacing w:after="120"/>
      </w:pPr>
      <w:r>
        <w:rPr>
          <w:sz w:val="21"/>
          <w:szCs w:val="21"/>
        </w:rPr>
        <w:t xml:space="preserve">Automatisierte Test-Zahlungen zur Prüfung entwendeter Karten; wird durch Ratenbegrenzung und Betrugserkennung blockiert.</w:t>
      </w:r>
    </w:p>
    <w:p>
      <w:pPr>
        <w:spacing w:after="40" w:before="160"/>
      </w:pPr>
      <w:r>
        <w:rPr>
          <w:b/>
          <w:bCs/>
          <w:color w:val="1A3E75"/>
          <w:sz w:val="22"/>
          <w:szCs w:val="22"/>
        </w:rPr>
        <w:t xml:space="preserve">RK-007  </w:t>
      </w:r>
      <w:r>
        <w:rPr>
          <w:b/>
          <w:bCs/>
          <w:sz w:val="22"/>
          <w:szCs w:val="22"/>
        </w:rPr>
        <w:t xml:space="preserve">Sperre</w:t>
      </w:r>
      <w:r>
        <w:rPr>
          <w:i/>
          <w:iCs/>
          <w:color w:val="666666"/>
          <w:sz w:val="20"/>
          <w:szCs w:val="20"/>
        </w:rPr>
        <w:t xml:space="preserve">  —  Suspension</w:t>
      </w:r>
    </w:p>
    <w:p>
      <w:pPr>
        <w:spacing w:after="120"/>
      </w:pPr>
      <w:r>
        <w:rPr>
          <w:sz w:val="21"/>
          <w:szCs w:val="21"/>
        </w:rPr>
        <w:t xml:space="preserve">Ganze oder teilweise Sperrung eines Kontos, einer Organisation oder eines Vendors aus Sicherheits-, Compliance- oder Vertragsgründen.</w:t>
      </w:r>
    </w:p>
    <w:p>
      <w:pPr>
        <w:spacing w:after="40" w:before="160"/>
      </w:pPr>
      <w:r>
        <w:rPr>
          <w:b/>
          <w:bCs/>
          <w:color w:val="1A3E75"/>
          <w:sz w:val="22"/>
          <w:szCs w:val="22"/>
        </w:rPr>
        <w:t xml:space="preserve">RK-008  </w:t>
      </w:r>
      <w:r>
        <w:rPr>
          <w:b/>
          <w:bCs/>
          <w:sz w:val="22"/>
          <w:szCs w:val="22"/>
        </w:rPr>
        <w:t xml:space="preserve">Deaktivierung</w:t>
      </w:r>
      <w:r>
        <w:rPr>
          <w:i/>
          <w:iCs/>
          <w:color w:val="666666"/>
          <w:sz w:val="20"/>
          <w:szCs w:val="20"/>
        </w:rPr>
        <w:t xml:space="preserve">  —  Deactivation</w:t>
      </w:r>
    </w:p>
    <w:p>
      <w:pPr>
        <w:spacing w:after="120"/>
      </w:pPr>
      <w:r>
        <w:rPr>
          <w:sz w:val="21"/>
          <w:szCs w:val="21"/>
        </w:rPr>
        <w:t xml:space="preserve">Endgültige Schließung eines Kontos; ist von der Löschung personenbezogener Daten zu unterscheiden.</w:t>
      </w:r>
    </w:p>
    <w:p>
      <w:pPr>
        <w:spacing w:after="40" w:before="160"/>
      </w:pPr>
      <w:r>
        <w:rPr>
          <w:b/>
          <w:bCs/>
          <w:color w:val="1A3E75"/>
          <w:sz w:val="22"/>
          <w:szCs w:val="22"/>
        </w:rPr>
        <w:t xml:space="preserve">RK-009  </w:t>
      </w:r>
      <w:r>
        <w:rPr>
          <w:b/>
          <w:bCs/>
          <w:sz w:val="22"/>
          <w:szCs w:val="22"/>
        </w:rPr>
        <w:t xml:space="preserve">Blockliste</w:t>
      </w:r>
      <w:r>
        <w:rPr>
          <w:i/>
          <w:iCs/>
          <w:color w:val="666666"/>
          <w:sz w:val="20"/>
          <w:szCs w:val="20"/>
        </w:rPr>
        <w:t xml:space="preserve">  —  Blocklist</w:t>
      </w:r>
    </w:p>
    <w:p>
      <w:pPr>
        <w:spacing w:after="120"/>
      </w:pPr>
      <w:r>
        <w:rPr>
          <w:sz w:val="21"/>
          <w:szCs w:val="21"/>
        </w:rPr>
        <w:t xml:space="preserve">Interne Liste ausgeschlossener Personen, Organisationen, Adressen oder Zahlungsmittel.</w:t>
      </w:r>
    </w:p>
    <w:p>
      <w:pPr>
        <w:spacing w:after="40" w:before="160"/>
      </w:pPr>
      <w:r>
        <w:rPr>
          <w:b/>
          <w:bCs/>
          <w:color w:val="1A3E75"/>
          <w:sz w:val="22"/>
          <w:szCs w:val="22"/>
        </w:rPr>
        <w:t xml:space="preserve">RK-010  </w:t>
      </w:r>
      <w:r>
        <w:rPr>
          <w:b/>
          <w:bCs/>
          <w:sz w:val="22"/>
          <w:szCs w:val="22"/>
        </w:rPr>
        <w:t xml:space="preserve">Whitelist</w:t>
      </w:r>
      <w:r>
        <w:rPr>
          <w:i/>
          <w:iCs/>
          <w:color w:val="666666"/>
          <w:sz w:val="20"/>
          <w:szCs w:val="20"/>
        </w:rPr>
        <w:t xml:space="preserve">  —  Allowlist</w:t>
      </w:r>
    </w:p>
    <w:p>
      <w:pPr>
        <w:spacing w:after="120"/>
      </w:pPr>
      <w:r>
        <w:rPr>
          <w:sz w:val="21"/>
          <w:szCs w:val="21"/>
        </w:rPr>
        <w:t xml:space="preserve">Interne Liste bevorzugter Vertragspartner mit erleichterten Prüfungen.</w:t>
      </w:r>
    </w:p>
    <w:p>
      <w:pPr>
        <w:pStyle w:val="Heading2"/>
      </w:pPr>
      <w:r>
        <w:t xml:space="preserve">SU · Support &amp; Streitbeilegung</w:t>
      </w:r>
    </w:p>
    <w:p>
      <w:pPr>
        <w:spacing w:after="40" w:before="160"/>
      </w:pPr>
      <w:r>
        <w:rPr>
          <w:b/>
          <w:bCs/>
          <w:color w:val="1A3E75"/>
          <w:sz w:val="22"/>
          <w:szCs w:val="22"/>
        </w:rPr>
        <w:t xml:space="preserve">SU-001  </w:t>
      </w:r>
      <w:r>
        <w:rPr>
          <w:b/>
          <w:bCs/>
          <w:sz w:val="22"/>
          <w:szCs w:val="22"/>
        </w:rPr>
        <w:t xml:space="preserve">Support-Fall</w:t>
      </w:r>
      <w:r>
        <w:rPr>
          <w:i/>
          <w:iCs/>
          <w:color w:val="666666"/>
          <w:sz w:val="20"/>
          <w:szCs w:val="20"/>
        </w:rPr>
        <w:t xml:space="preserve">  —  Support Case</w:t>
      </w:r>
    </w:p>
    <w:p>
      <w:pPr>
        <w:spacing w:after="120"/>
      </w:pPr>
      <w:r>
        <w:rPr>
          <w:sz w:val="21"/>
          <w:szCs w:val="21"/>
        </w:rPr>
        <w:t xml:space="preserve">Vorgang eines Nutzers zu einer Frage, Reklamation oder Meldung, dokumentiert mit eigener Fall-ID.</w:t>
      </w:r>
    </w:p>
    <w:p>
      <w:pPr>
        <w:spacing w:after="40" w:before="160"/>
      </w:pPr>
      <w:r>
        <w:rPr>
          <w:b/>
          <w:bCs/>
          <w:color w:val="1A3E75"/>
          <w:sz w:val="22"/>
          <w:szCs w:val="22"/>
        </w:rPr>
        <w:t xml:space="preserve">SU-002  </w:t>
      </w:r>
      <w:r>
        <w:rPr>
          <w:b/>
          <w:bCs/>
          <w:sz w:val="22"/>
          <w:szCs w:val="22"/>
        </w:rPr>
        <w:t xml:space="preserve">Reaktionszeit</w:t>
      </w:r>
      <w:r>
        <w:rPr>
          <w:i/>
          <w:iCs/>
          <w:color w:val="666666"/>
          <w:sz w:val="20"/>
          <w:szCs w:val="20"/>
        </w:rPr>
        <w:t xml:space="preserve">  —  Response Time</w:t>
      </w:r>
    </w:p>
    <w:p>
      <w:pPr>
        <w:spacing w:after="120"/>
      </w:pPr>
      <w:r>
        <w:rPr>
          <w:sz w:val="21"/>
          <w:szCs w:val="21"/>
        </w:rPr>
        <w:t xml:space="preserve">Zeit zwischen Eingang und erster substanzieller Antwort des Support-Teams.</w:t>
      </w:r>
    </w:p>
    <w:p>
      <w:pPr>
        <w:spacing w:after="40" w:before="160"/>
      </w:pPr>
      <w:r>
        <w:rPr>
          <w:b/>
          <w:bCs/>
          <w:color w:val="1A3E75"/>
          <w:sz w:val="22"/>
          <w:szCs w:val="22"/>
        </w:rPr>
        <w:t xml:space="preserve">SU-003  </w:t>
      </w:r>
      <w:r>
        <w:rPr>
          <w:b/>
          <w:bCs/>
          <w:sz w:val="22"/>
          <w:szCs w:val="22"/>
        </w:rPr>
        <w:t xml:space="preserve">Bearbeitungszeit</w:t>
      </w:r>
      <w:r>
        <w:rPr>
          <w:i/>
          <w:iCs/>
          <w:color w:val="666666"/>
          <w:sz w:val="20"/>
          <w:szCs w:val="20"/>
        </w:rPr>
        <w:t xml:space="preserve">  —  Resolution Time</w:t>
      </w:r>
    </w:p>
    <w:p>
      <w:pPr>
        <w:spacing w:after="120"/>
      </w:pPr>
      <w:r>
        <w:rPr>
          <w:sz w:val="21"/>
          <w:szCs w:val="21"/>
        </w:rPr>
        <w:t xml:space="preserve">Zeit zwischen Eingang und abschließender Bearbeitung eines Support-Falls.</w:t>
      </w:r>
    </w:p>
    <w:p>
      <w:pPr>
        <w:spacing w:after="40" w:before="160"/>
      </w:pPr>
      <w:r>
        <w:rPr>
          <w:b/>
          <w:bCs/>
          <w:color w:val="1A3E75"/>
          <w:sz w:val="22"/>
          <w:szCs w:val="22"/>
        </w:rPr>
        <w:t xml:space="preserve">SU-004  </w:t>
      </w:r>
      <w:r>
        <w:rPr>
          <w:b/>
          <w:bCs/>
          <w:sz w:val="22"/>
          <w:szCs w:val="22"/>
        </w:rPr>
        <w:t xml:space="preserve">Eskalation</w:t>
      </w:r>
      <w:r>
        <w:rPr>
          <w:i/>
          <w:iCs/>
          <w:color w:val="666666"/>
          <w:sz w:val="20"/>
          <w:szCs w:val="20"/>
        </w:rPr>
        <w:t xml:space="preserve">  —  Escalation</w:t>
      </w:r>
    </w:p>
    <w:p>
      <w:pPr>
        <w:spacing w:after="120"/>
      </w:pPr>
      <w:r>
        <w:rPr>
          <w:sz w:val="21"/>
          <w:szCs w:val="21"/>
        </w:rPr>
        <w:t xml:space="preserve">Weiterleitung eines Support-Falls an eine höhere Bearbeitungsebene aufgrund Komplexität, Dringlichkeit oder Widerspruch.</w:t>
      </w:r>
    </w:p>
    <w:p>
      <w:pPr>
        <w:spacing w:after="40" w:before="160"/>
      </w:pPr>
      <w:r>
        <w:rPr>
          <w:b/>
          <w:bCs/>
          <w:color w:val="1A3E75"/>
          <w:sz w:val="22"/>
          <w:szCs w:val="22"/>
        </w:rPr>
        <w:t xml:space="preserve">SU-005  </w:t>
      </w:r>
      <w:r>
        <w:rPr>
          <w:b/>
          <w:bCs/>
          <w:sz w:val="22"/>
          <w:szCs w:val="22"/>
        </w:rPr>
        <w:t xml:space="preserve">Streitbeilegungsverfahren</w:t>
      </w:r>
      <w:r>
        <w:rPr>
          <w:i/>
          <w:iCs/>
          <w:color w:val="666666"/>
          <w:sz w:val="20"/>
          <w:szCs w:val="20"/>
        </w:rPr>
        <w:t xml:space="preserve">  —  Dispute Resolution</w:t>
      </w:r>
    </w:p>
    <w:p>
      <w:pPr>
        <w:spacing w:after="120"/>
      </w:pPr>
      <w:r>
        <w:rPr>
          <w:sz w:val="21"/>
          <w:szCs w:val="21"/>
        </w:rPr>
        <w:t xml:space="preserve">Internes Verfahren zur strukturierten Behandlung von Streitfällen zwischen Kunden, Vendoren und Plattform; endet mit einer Entscheidung.</w:t>
      </w:r>
    </w:p>
    <w:p>
      <w:pPr>
        <w:spacing w:after="40" w:before="160"/>
      </w:pPr>
      <w:r>
        <w:rPr>
          <w:b/>
          <w:bCs/>
          <w:color w:val="1A3E75"/>
          <w:sz w:val="22"/>
          <w:szCs w:val="22"/>
        </w:rPr>
        <w:t xml:space="preserve">SU-006  </w:t>
      </w:r>
      <w:r>
        <w:rPr>
          <w:b/>
          <w:bCs/>
          <w:sz w:val="22"/>
          <w:szCs w:val="22"/>
        </w:rPr>
        <w:t xml:space="preserve">Verbraucherschlichtungsstelle</w:t>
      </w:r>
      <w:r>
        <w:rPr>
          <w:i/>
          <w:iCs/>
          <w:color w:val="666666"/>
          <w:sz w:val="20"/>
          <w:szCs w:val="20"/>
        </w:rPr>
        <w:t xml:space="preserve">  —  Consumer Arbitration Body</w:t>
      </w:r>
    </w:p>
    <w:p>
      <w:pPr>
        <w:spacing w:after="120"/>
      </w:pPr>
      <w:r>
        <w:rPr>
          <w:sz w:val="21"/>
          <w:szCs w:val="21"/>
        </w:rPr>
        <w:t xml:space="preserve">Anerkannte Stelle zur außergerichtlichen Beilegung verbraucherrechtlicher Streitigkeiten.</w:t>
      </w:r>
    </w:p>
    <w:p>
      <w:pPr>
        <w:spacing w:after="40" w:before="160"/>
      </w:pPr>
      <w:r>
        <w:rPr>
          <w:b/>
          <w:bCs/>
          <w:color w:val="1A3E75"/>
          <w:sz w:val="22"/>
          <w:szCs w:val="22"/>
        </w:rPr>
        <w:t xml:space="preserve">SU-007  </w:t>
      </w:r>
      <w:r>
        <w:rPr>
          <w:b/>
          <w:bCs/>
          <w:sz w:val="22"/>
          <w:szCs w:val="22"/>
        </w:rPr>
        <w:t xml:space="preserve">OS-Plattform</w:t>
      </w:r>
      <w:r>
        <w:rPr>
          <w:i/>
          <w:iCs/>
          <w:color w:val="666666"/>
          <w:sz w:val="20"/>
          <w:szCs w:val="20"/>
        </w:rPr>
        <w:t xml:space="preserve">  —  EU ODR Platform</w:t>
      </w:r>
    </w:p>
    <w:p>
      <w:pPr>
        <w:spacing w:after="120"/>
      </w:pPr>
      <w:r>
        <w:rPr>
          <w:sz w:val="21"/>
          <w:szCs w:val="21"/>
        </w:rPr>
        <w:t xml:space="preserve">Online-Streitbeilegungsplattform der EU-Kommission nach Verordnung (EU) Nr. 524/2013.</w:t>
      </w:r>
    </w:p>
    <w:p>
      <w:pPr>
        <w:spacing w:after="40" w:before="160"/>
      </w:pPr>
      <w:r>
        <w:rPr>
          <w:b/>
          <w:bCs/>
          <w:color w:val="1A3E75"/>
          <w:sz w:val="22"/>
          <w:szCs w:val="22"/>
        </w:rPr>
        <w:t xml:space="preserve">SU-008  </w:t>
      </w:r>
      <w:r>
        <w:rPr>
          <w:b/>
          <w:bCs/>
          <w:sz w:val="22"/>
          <w:szCs w:val="22"/>
        </w:rPr>
        <w:t xml:space="preserve">Notfallkontakt</w:t>
      </w:r>
      <w:r>
        <w:rPr>
          <w:i/>
          <w:iCs/>
          <w:color w:val="666666"/>
          <w:sz w:val="20"/>
          <w:szCs w:val="20"/>
        </w:rPr>
        <w:t xml:space="preserve">  —  Emergency Contact</w:t>
      </w:r>
    </w:p>
    <w:p>
      <w:pPr>
        <w:spacing w:after="120"/>
      </w:pPr>
      <w:r>
        <w:rPr>
          <w:sz w:val="21"/>
          <w:szCs w:val="21"/>
        </w:rPr>
        <w:t xml:space="preserve">Definierter Kanal für sicherheitsrelevante Meldungen, insbesondere Produktsicherheit und Datenschutzvorfälle.</w:t>
      </w:r>
    </w:p>
    <w:p>
      <w:pPr>
        <w:pStyle w:val="Heading2"/>
      </w:pPr>
      <w:r>
        <w:t xml:space="preserve">CN · Consent, Versionierung &amp; Änderung</w:t>
      </w:r>
    </w:p>
    <w:p>
      <w:pPr>
        <w:spacing w:after="40" w:before="160"/>
      </w:pPr>
      <w:r>
        <w:rPr>
          <w:b/>
          <w:bCs/>
          <w:color w:val="1A3E75"/>
          <w:sz w:val="22"/>
          <w:szCs w:val="22"/>
        </w:rPr>
        <w:t xml:space="preserve">CN-001  </w:t>
      </w:r>
      <w:r>
        <w:rPr>
          <w:b/>
          <w:bCs/>
          <w:sz w:val="22"/>
          <w:szCs w:val="22"/>
        </w:rPr>
        <w:t xml:space="preserve">Vertragsversion</w:t>
      </w:r>
      <w:r>
        <w:rPr>
          <w:i/>
          <w:iCs/>
          <w:color w:val="666666"/>
          <w:sz w:val="20"/>
          <w:szCs w:val="20"/>
        </w:rPr>
        <w:t xml:space="preserve">  —  Contract Version</w:t>
      </w:r>
    </w:p>
    <w:p>
      <w:pPr>
        <w:spacing w:after="120"/>
      </w:pPr>
      <w:r>
        <w:rPr>
          <w:sz w:val="21"/>
          <w:szCs w:val="21"/>
        </w:rPr>
        <w:t xml:space="preserve">Eindeutig gekennzeichneter Stand eines Dokuments, gekennzeichnet mit Versionsnummer und Inkrafttretensdatum.</w:t>
      </w:r>
    </w:p>
    <w:p>
      <w:pPr>
        <w:spacing w:after="40" w:before="160"/>
      </w:pPr>
      <w:r>
        <w:rPr>
          <w:b/>
          <w:bCs/>
          <w:color w:val="1A3E75"/>
          <w:sz w:val="22"/>
          <w:szCs w:val="22"/>
        </w:rPr>
        <w:t xml:space="preserve">CN-002  </w:t>
      </w:r>
      <w:r>
        <w:rPr>
          <w:b/>
          <w:bCs/>
          <w:sz w:val="22"/>
          <w:szCs w:val="22"/>
        </w:rPr>
        <w:t xml:space="preserve">Inkrafttretensdatum</w:t>
      </w:r>
      <w:r>
        <w:rPr>
          <w:i/>
          <w:iCs/>
          <w:color w:val="666666"/>
          <w:sz w:val="20"/>
          <w:szCs w:val="20"/>
        </w:rPr>
        <w:t xml:space="preserve">  —  Effective Date</w:t>
      </w:r>
    </w:p>
    <w:p>
      <w:pPr>
        <w:spacing w:after="120"/>
      </w:pPr>
      <w:r>
        <w:rPr>
          <w:sz w:val="21"/>
          <w:szCs w:val="21"/>
        </w:rPr>
        <w:t xml:space="preserve">Datum, ab dem eine Dokumentversion für neue Vorgänge Anwendung findet.</w:t>
      </w:r>
    </w:p>
    <w:p>
      <w:pPr>
        <w:spacing w:after="40" w:before="160"/>
      </w:pPr>
      <w:r>
        <w:rPr>
          <w:b/>
          <w:bCs/>
          <w:color w:val="1A3E75"/>
          <w:sz w:val="22"/>
          <w:szCs w:val="22"/>
        </w:rPr>
        <w:t xml:space="preserve">CN-003  </w:t>
      </w:r>
      <w:r>
        <w:rPr>
          <w:b/>
          <w:bCs/>
          <w:sz w:val="22"/>
          <w:szCs w:val="22"/>
        </w:rPr>
        <w:t xml:space="preserve">Änderungshistorie</w:t>
      </w:r>
      <w:r>
        <w:rPr>
          <w:i/>
          <w:iCs/>
          <w:color w:val="666666"/>
          <w:sz w:val="20"/>
          <w:szCs w:val="20"/>
        </w:rPr>
        <w:t xml:space="preserve">  —  Change History</w:t>
      </w:r>
    </w:p>
    <w:p>
      <w:pPr>
        <w:spacing w:after="120"/>
      </w:pPr>
      <w:r>
        <w:rPr>
          <w:sz w:val="21"/>
          <w:szCs w:val="21"/>
        </w:rPr>
        <w:t xml:space="preserve">Nachvollziehbare Übersicht über Versionen, Änderungen, Freigabezeitpunkt und verantwortliche Person.</w:t>
      </w:r>
    </w:p>
    <w:p>
      <w:pPr>
        <w:spacing w:after="40" w:before="160"/>
      </w:pPr>
      <w:r>
        <w:rPr>
          <w:b/>
          <w:bCs/>
          <w:color w:val="1A3E75"/>
          <w:sz w:val="22"/>
          <w:szCs w:val="22"/>
        </w:rPr>
        <w:t xml:space="preserve">CN-004  </w:t>
      </w:r>
      <w:r>
        <w:rPr>
          <w:b/>
          <w:bCs/>
          <w:sz w:val="22"/>
          <w:szCs w:val="22"/>
        </w:rPr>
        <w:t xml:space="preserve">Änderungsmitteilung</w:t>
      </w:r>
      <w:r>
        <w:rPr>
          <w:i/>
          <w:iCs/>
          <w:color w:val="666666"/>
          <w:sz w:val="20"/>
          <w:szCs w:val="20"/>
        </w:rPr>
        <w:t xml:space="preserve">  —  Change Notice</w:t>
      </w:r>
    </w:p>
    <w:p>
      <w:pPr>
        <w:spacing w:after="120"/>
      </w:pPr>
      <w:r>
        <w:rPr>
          <w:sz w:val="21"/>
          <w:szCs w:val="21"/>
        </w:rPr>
        <w:t xml:space="preserve">Rechtzeitige Benachrichtigung betroffener Nutzer über beabsichtigte Änderungen von Vertragsbedingungen.</w:t>
      </w:r>
    </w:p>
    <w:p>
      <w:pPr>
        <w:spacing w:after="40" w:before="160"/>
      </w:pPr>
      <w:r>
        <w:rPr>
          <w:b/>
          <w:bCs/>
          <w:color w:val="1A3E75"/>
          <w:sz w:val="22"/>
          <w:szCs w:val="22"/>
        </w:rPr>
        <w:t xml:space="preserve">CN-005  </w:t>
      </w:r>
      <w:r>
        <w:rPr>
          <w:b/>
          <w:bCs/>
          <w:sz w:val="22"/>
          <w:szCs w:val="22"/>
        </w:rPr>
        <w:t xml:space="preserve">Widerspruchsrecht</w:t>
      </w:r>
      <w:r>
        <w:rPr>
          <w:i/>
          <w:iCs/>
          <w:color w:val="666666"/>
          <w:sz w:val="20"/>
          <w:szCs w:val="20"/>
        </w:rPr>
        <w:t xml:space="preserve">  —  Objection Right</w:t>
      </w:r>
    </w:p>
    <w:p>
      <w:pPr>
        <w:spacing w:after="120"/>
      </w:pPr>
      <w:r>
        <w:rPr>
          <w:sz w:val="21"/>
          <w:szCs w:val="21"/>
        </w:rPr>
        <w:t xml:space="preserve">Recht des Nutzers, geänderten Bedingungen innerhalb einer angemessenen Frist zu widersprechen, mit den in den einschlägigen Dokumenten geregelten Folgen.</w:t>
      </w:r>
    </w:p>
    <w:p>
      <w:pPr>
        <w:spacing w:after="40" w:before="160"/>
      </w:pPr>
      <w:r>
        <w:rPr>
          <w:b/>
          <w:bCs/>
          <w:color w:val="1A3E75"/>
          <w:sz w:val="22"/>
          <w:szCs w:val="22"/>
        </w:rPr>
        <w:t xml:space="preserve">CN-006  </w:t>
      </w:r>
      <w:r>
        <w:rPr>
          <w:b/>
          <w:bCs/>
          <w:sz w:val="22"/>
          <w:szCs w:val="22"/>
        </w:rPr>
        <w:t xml:space="preserve">Cross-Reference-Matrix</w:t>
      </w:r>
      <w:r>
        <w:rPr>
          <w:i/>
          <w:iCs/>
          <w:color w:val="666666"/>
          <w:sz w:val="20"/>
          <w:szCs w:val="20"/>
        </w:rPr>
        <w:t xml:space="preserve">  —  Cross-Reference Matrix</w:t>
      </w:r>
    </w:p>
    <w:p>
      <w:pPr>
        <w:spacing w:after="120"/>
      </w:pPr>
      <w:r>
        <w:rPr>
          <w:sz w:val="21"/>
          <w:szCs w:val="21"/>
        </w:rPr>
        <w:t xml:space="preserve">Verzeichnis aller Verweise zwischen Legal Blueprint, Definitionen und einzelnen Dokumenten zur Sicherstellung der Konsistenz.</w:t>
      </w:r>
    </w:p>
    <w:p>
      <w:pPr>
        <w:spacing w:after="40" w:before="160"/>
      </w:pPr>
      <w:r>
        <w:rPr>
          <w:b/>
          <w:bCs/>
          <w:color w:val="1A3E75"/>
          <w:sz w:val="22"/>
          <w:szCs w:val="22"/>
        </w:rPr>
        <w:t xml:space="preserve">CN-007  </w:t>
      </w:r>
      <w:r>
        <w:rPr>
          <w:b/>
          <w:bCs/>
          <w:sz w:val="22"/>
          <w:szCs w:val="22"/>
        </w:rPr>
        <w:t xml:space="preserve">Sprachfassung</w:t>
      </w:r>
      <w:r>
        <w:rPr>
          <w:i/>
          <w:iCs/>
          <w:color w:val="666666"/>
          <w:sz w:val="20"/>
          <w:szCs w:val="20"/>
        </w:rPr>
        <w:t xml:space="preserve">  —  Language Version</w:t>
      </w:r>
    </w:p>
    <w:p>
      <w:pPr>
        <w:spacing w:after="120"/>
      </w:pPr>
      <w:r>
        <w:rPr>
          <w:sz w:val="21"/>
          <w:szCs w:val="21"/>
        </w:rPr>
        <w:t xml:space="preserve">Eine bestimmte Sprachfassung eines Dokuments; die deutsche Fassung ist jeweils die verbindliche Fassung, sofern nicht ausdrücklich anders geregelt.</w:t>
      </w:r>
    </w:p>
    <w:p>
      <w:pPr>
        <w:pStyle w:val="Heading2"/>
      </w:pPr>
      <w:r>
        <w:t xml:space="preserve">DO · Dokumente &amp; Klausel-System</w:t>
      </w:r>
    </w:p>
    <w:p>
      <w:pPr>
        <w:spacing w:after="40" w:before="160"/>
      </w:pPr>
      <w:r>
        <w:rPr>
          <w:b/>
          <w:bCs/>
          <w:color w:val="1A3E75"/>
          <w:sz w:val="22"/>
          <w:szCs w:val="22"/>
        </w:rPr>
        <w:t xml:space="preserve">DO-001  </w:t>
      </w:r>
      <w:r>
        <w:rPr>
          <w:b/>
          <w:bCs/>
          <w:sz w:val="22"/>
          <w:szCs w:val="22"/>
        </w:rPr>
        <w:t xml:space="preserve">Klausel-ID</w:t>
      </w:r>
      <w:r>
        <w:rPr>
          <w:i/>
          <w:iCs/>
          <w:color w:val="666666"/>
          <w:sz w:val="20"/>
          <w:szCs w:val="20"/>
        </w:rPr>
        <w:t xml:space="preserve">  —  Clause ID</w:t>
      </w:r>
    </w:p>
    <w:p>
      <w:pPr>
        <w:spacing w:after="120"/>
      </w:pPr>
      <w:r>
        <w:rPr>
          <w:sz w:val="21"/>
          <w:szCs w:val="21"/>
        </w:rPr>
        <w:t xml:space="preserve">Sprachneutrale, dauerhaft stabile Kennung einer Klausel; erlaubt Referenzen aus anderen Dokumenten unabhängig von Sprache oder Nummerierung.</w:t>
      </w:r>
    </w:p>
    <w:p>
      <w:pPr>
        <w:spacing w:after="40" w:before="160"/>
      </w:pPr>
      <w:r>
        <w:rPr>
          <w:b/>
          <w:bCs/>
          <w:color w:val="1A3E75"/>
          <w:sz w:val="22"/>
          <w:szCs w:val="22"/>
        </w:rPr>
        <w:t xml:space="preserve">DO-002  </w:t>
      </w:r>
      <w:r>
        <w:rPr>
          <w:b/>
          <w:bCs/>
          <w:sz w:val="22"/>
          <w:szCs w:val="22"/>
        </w:rPr>
        <w:t xml:space="preserve">Dokumentklasse</w:t>
      </w:r>
      <w:r>
        <w:rPr>
          <w:i/>
          <w:iCs/>
          <w:color w:val="666666"/>
          <w:sz w:val="20"/>
          <w:szCs w:val="20"/>
        </w:rPr>
        <w:t xml:space="preserve">  —  Document Class</w:t>
      </w:r>
    </w:p>
    <w:p>
      <w:pPr>
        <w:spacing w:after="120"/>
      </w:pPr>
      <w:r>
        <w:rPr>
          <w:sz w:val="21"/>
          <w:szCs w:val="21"/>
        </w:rPr>
        <w:t xml:space="preserve">Kategorisierung eines Rechtsdokuments (z. B. Verbraucherbedingungen, Business-Bedingungen, Vendor-Bedingungen, Plattform-Dokument, Policy).</w:t>
      </w:r>
    </w:p>
    <w:p>
      <w:pPr>
        <w:spacing w:after="40" w:before="160"/>
      </w:pPr>
      <w:r>
        <w:rPr>
          <w:b/>
          <w:bCs/>
          <w:color w:val="1A3E75"/>
          <w:sz w:val="22"/>
          <w:szCs w:val="22"/>
        </w:rPr>
        <w:t xml:space="preserve">DO-003  </w:t>
      </w:r>
      <w:r>
        <w:rPr>
          <w:b/>
          <w:bCs/>
          <w:sz w:val="22"/>
          <w:szCs w:val="22"/>
        </w:rPr>
        <w:t xml:space="preserve">Rechtstext-Modul</w:t>
      </w:r>
      <w:r>
        <w:rPr>
          <w:i/>
          <w:iCs/>
          <w:color w:val="666666"/>
          <w:sz w:val="20"/>
          <w:szCs w:val="20"/>
        </w:rPr>
        <w:t xml:space="preserve">  —  Legal Module</w:t>
      </w:r>
    </w:p>
    <w:p>
      <w:pPr>
        <w:spacing w:after="120"/>
      </w:pPr>
      <w:r>
        <w:rPr>
          <w:sz w:val="21"/>
          <w:szCs w:val="21"/>
        </w:rPr>
        <w:t xml:space="preserve">Wiederverwendbarer Textbaustein, der in mehreren Dokumenten identisch verwendet wird (z. B. Widerrufsbelehrung, Definitionen).</w:t>
      </w:r>
    </w:p>
    <w:p>
      <w:pPr>
        <w:spacing w:after="40" w:before="160"/>
      </w:pPr>
      <w:r>
        <w:rPr>
          <w:b/>
          <w:bCs/>
          <w:color w:val="1A3E75"/>
          <w:sz w:val="22"/>
          <w:szCs w:val="22"/>
        </w:rPr>
        <w:t xml:space="preserve">DO-004  </w:t>
      </w:r>
      <w:r>
        <w:rPr>
          <w:b/>
          <w:bCs/>
          <w:sz w:val="22"/>
          <w:szCs w:val="22"/>
        </w:rPr>
        <w:t xml:space="preserve">PDF-Fassung</w:t>
      </w:r>
      <w:r>
        <w:rPr>
          <w:i/>
          <w:iCs/>
          <w:color w:val="666666"/>
          <w:sz w:val="20"/>
          <w:szCs w:val="20"/>
        </w:rPr>
        <w:t xml:space="preserve">  —  PDF Version</w:t>
      </w:r>
    </w:p>
    <w:p>
      <w:pPr>
        <w:spacing w:after="120"/>
      </w:pPr>
      <w:r>
        <w:rPr>
          <w:sz w:val="21"/>
          <w:szCs w:val="21"/>
        </w:rPr>
        <w:t xml:space="preserve">Als PDF fixierte, versionierte Fassung eines Dokuments zum Nachweis der zum Vertragszeitpunkt geltenden Bedingungen.</w:t>
      </w:r>
    </w:p>
    <w:p>
      <w:pPr>
        <w:spacing w:after="40" w:before="160"/>
      </w:pPr>
      <w:r>
        <w:rPr>
          <w:b/>
          <w:bCs/>
          <w:color w:val="1A3E75"/>
          <w:sz w:val="22"/>
          <w:szCs w:val="22"/>
        </w:rPr>
        <w:t xml:space="preserve">DO-005  </w:t>
      </w:r>
      <w:r>
        <w:rPr>
          <w:b/>
          <w:bCs/>
          <w:sz w:val="22"/>
          <w:szCs w:val="22"/>
        </w:rPr>
        <w:t xml:space="preserve">Druckfassung</w:t>
      </w:r>
      <w:r>
        <w:rPr>
          <w:i/>
          <w:iCs/>
          <w:color w:val="666666"/>
          <w:sz w:val="20"/>
          <w:szCs w:val="20"/>
        </w:rPr>
        <w:t xml:space="preserve">  —  Print Version</w:t>
      </w:r>
    </w:p>
    <w:p>
      <w:pPr>
        <w:spacing w:after="120"/>
      </w:pPr>
      <w:r>
        <w:rPr>
          <w:sz w:val="21"/>
          <w:szCs w:val="21"/>
        </w:rPr>
        <w:t xml:space="preserve">Für den Ausdruck optimierte Fassung eines Dokuments mit reduzierter Navigation.</w:t>
      </w:r>
    </w:p>
    <w:p>
      <w:pPr>
        <w:spacing w:after="40" w:before="160"/>
      </w:pPr>
      <w:r>
        <w:rPr>
          <w:b/>
          <w:bCs/>
          <w:color w:val="1A3E75"/>
          <w:sz w:val="22"/>
          <w:szCs w:val="22"/>
        </w:rPr>
        <w:t xml:space="preserve">DO-006  </w:t>
      </w:r>
      <w:r>
        <w:rPr>
          <w:b/>
          <w:bCs/>
          <w:sz w:val="22"/>
          <w:szCs w:val="22"/>
        </w:rPr>
        <w:t xml:space="preserve">Interne Fassung</w:t>
      </w:r>
      <w:r>
        <w:rPr>
          <w:i/>
          <w:iCs/>
          <w:color w:val="666666"/>
          <w:sz w:val="20"/>
          <w:szCs w:val="20"/>
        </w:rPr>
        <w:t xml:space="preserve">  —  Internal Version</w:t>
      </w:r>
    </w:p>
    <w:p>
      <w:pPr>
        <w:spacing w:after="120"/>
      </w:pPr>
      <w:r>
        <w:rPr>
          <w:sz w:val="21"/>
          <w:szCs w:val="21"/>
        </w:rPr>
        <w:t xml:space="preserve">Nicht öffentliche Fassung eines Dokuments (z. B. der Legal Blueprint), bestimmt für Mitarbeitende und juristische Berater.</w:t>
      </w:r>
    </w:p>
    <w:p>
      <w:pPr>
        <w:spacing w:after="40" w:before="160"/>
      </w:pPr>
      <w:r>
        <w:rPr>
          <w:b/>
          <w:bCs/>
          <w:color w:val="1A3E75"/>
          <w:sz w:val="22"/>
          <w:szCs w:val="22"/>
        </w:rPr>
        <w:t xml:space="preserve">DO-007  </w:t>
      </w:r>
      <w:r>
        <w:rPr>
          <w:b/>
          <w:bCs/>
          <w:sz w:val="22"/>
          <w:szCs w:val="22"/>
        </w:rPr>
        <w:t xml:space="preserve">Genehmigungshistorie</w:t>
      </w:r>
      <w:r>
        <w:rPr>
          <w:i/>
          <w:iCs/>
          <w:color w:val="666666"/>
          <w:sz w:val="20"/>
          <w:szCs w:val="20"/>
        </w:rPr>
        <w:t xml:space="preserve">  —  Approval History</w:t>
      </w:r>
    </w:p>
    <w:p>
      <w:pPr>
        <w:spacing w:after="120"/>
      </w:pPr>
      <w:r>
        <w:rPr>
          <w:sz w:val="21"/>
          <w:szCs w:val="21"/>
        </w:rPr>
        <w:t xml:space="preserve">Dokumentation der internen und externen Freigaben eines Dokuments einschließlich Datum, Rolle und Verantwortlicher.</w:t>
      </w:r>
    </w:p>
    <w:p>
      <w:pPr>
        <w:spacing w:after="40" w:before="160"/>
      </w:pPr>
      <w:r>
        <w:rPr>
          <w:b/>
          <w:bCs/>
          <w:color w:val="1A3E75"/>
          <w:sz w:val="22"/>
          <w:szCs w:val="22"/>
        </w:rPr>
        <w:t xml:space="preserve">DO-008  </w:t>
      </w:r>
      <w:r>
        <w:rPr>
          <w:b/>
          <w:bCs/>
          <w:sz w:val="22"/>
          <w:szCs w:val="22"/>
        </w:rPr>
        <w:t xml:space="preserve">Kanonische Fassung</w:t>
      </w:r>
      <w:r>
        <w:rPr>
          <w:i/>
          <w:iCs/>
          <w:color w:val="666666"/>
          <w:sz w:val="20"/>
          <w:szCs w:val="20"/>
        </w:rPr>
        <w:t xml:space="preserve">  —  Canonical Version</w:t>
      </w:r>
    </w:p>
    <w:p>
      <w:pPr>
        <w:spacing w:after="120"/>
      </w:pPr>
      <w:r>
        <w:rPr>
          <w:sz w:val="21"/>
          <w:szCs w:val="21"/>
        </w:rPr>
        <w:t xml:space="preserve">Verbindliche Referenzfassung eines Dokuments; standardmäßig die deutsche Fassung.</w:t>
      </w:r>
    </w:p>
    <w:p>
      <w:r>
        <w:br w:type="page"/>
      </w:r>
    </w:p>
    <w:p>
      <w:pPr>
        <w:pStyle w:val="Heading1"/>
      </w:pPr>
      <w:r>
        <w:t xml:space="preserve">Alphabetischer Index (DE)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1400"/>
        <w:gridCol w:w="3760"/>
      </w:tblGrid>
      <w:tr>
        <w:tc>
          <w:tcPr>
            <w:tcW w:type="dxa" w:w="42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Begriff (DE)</w:t>
            </w:r>
          </w:p>
        </w:tc>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ID</w:t>
            </w:r>
          </w:p>
        </w:tc>
        <w:tc>
          <w:tcPr>
            <w:tcW w:type="dxa" w:w="37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Kategorie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Abholung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Abonnement-Miete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Admin-Portal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AGB-Kontrolle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Akku-Verschleiß</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Alter-Verifikation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Analyse-Tracker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Änderungshistorie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Änderungsmitteilung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API-Zugang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Asset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Asset-ID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Aufbereitung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Aufbewahrungsdauer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Aufbewahrungsplan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DA-020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Auftragsverarbeiter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Auftragsverarbeitungsvertrag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Ausgangszustand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Aussonderung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Auszahlung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Auszahlungs-Sperrfrist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Auszahlungsrhythmus</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BattG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Bearbeitungszeit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Behörde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Belegarchiv</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Berechtigtes Interesse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Bestand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Bestandstransfer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Bestandszählung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Betroffenenrechte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Betrug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Beweismittel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Blockliste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Bonitätsprüfung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Buchung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Buchungsbestätigung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Budget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Business-Organisation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Business-Portal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CE-Kennzeichen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Chargeback</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Consent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Consent-Log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Cookie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Cross-Reference-Matrix</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Datenexport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Datenminimierung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Datenpanne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Datenübermittlung in Drittländer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Datenweitergabe an Vendor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Deaktivierung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Diebstahl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Digital Services Act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Direkt-Vermieterin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Displaybruch</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Dokumentklasse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Druckfassung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Einwand des Kunden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DM-021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Einwand des Vendors</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DM-022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Einzelmiete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ElektroG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Elektronische Signatur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Entsorgung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Ersatzbeschaffung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Eskalation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Fehlende Zubehörteile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Flüssigkeitsschaden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Foto-Anforderung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DM-020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Freigabekette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Freigabeschwelle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Gemeinsame Verantwortlichkeit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Genehmigungshistorie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Gesamtbetrag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Geschäftskunde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Geschenkgutschein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Gewöhnliche Abnutzung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GoBD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Großschaden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Guthaben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Gutschein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Gutschrift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GwG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Identitätsprüfung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Inbound-Fenster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Inkrafttretensdatum</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Inspektion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Inspektionsbericht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Interne Fassung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Kanonische Fassung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Kartentest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Katalog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Kategorie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Kautionsart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Kautionsbeleg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Kautionseinbehalt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Kautionsersatzmodell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Kautionsfreigabe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Kautionsfreigabefrist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Kautionshöhe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Kautionsstreitigkeit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Kautionsverwahrer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DP · Kaution &amp; Sicherheit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Kollision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BK-020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Kombi-Warenkorb</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Kommission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Kommissionierung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Kommissionsplan Enterprise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Kommissionsplan Professional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Kommissionsplan Standard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Konformitätserklärung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Konten-Manager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Kontingent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Konto</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Konto-Verifikation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Kosmetischer Schaden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Kostenstelle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Kreditlimit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Kulanzfrist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Kunde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Kurzmiete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KYC</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Lagerplatz</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Langzeitmiete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Direct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Listing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Listing-Owner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Listing-Regeln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Löschanforderung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Mahnung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Marken-Lizenz</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Marken-Nutzung durch die Plattform</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Marketplace-Abrechnung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Marketplace-Miete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Marktüberwachung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Miet-ID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miet.net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Mietbeginn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Mietende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Mietpreis</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Missbrauch</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Multi-Account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Muster-Widerrufsformular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Nebenkosten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Netto/Brutto-Kennzeichnung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Nichtrückgabe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No-Show</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Notfallkontakt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Nutzer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Öffentliche Marketplace-Website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Organisationsadministrator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OS-Plattform</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P2B-Verordnung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Payout-Konto</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PDF-Fassung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PEP-Prüfung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Personenbezogene Daten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Plattform</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Plattformbetreiberin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Preisangabenverordnung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Privatkunden-Portal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Produkt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Produkt-Variante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Produktsicherheitsverordnung (GPSR)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Projekt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Puffertag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Purchase Order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Rahmenvertrag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Ranking-Regeln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Reaktionszeit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Rechnungsnummer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PY-034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Rechnungsprofil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Rechtsbindungs-Marker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Rechtstext-Modul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 · Dokumente &amp; Klausel-System</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Reinigung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Reparatur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Reservierung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Risikoprofil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Risikoscore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Rückerstattung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Rückgabe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Rückgabefenster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Rückgabezustand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Rücktransport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Sammelrechnung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Sanktionslisten-Prüfung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Schadensbericht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DM-024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Schadensentscheidung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DM-023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SCIM-Bereitstellung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Selbstbeteiligung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SEPA-Rückbuchung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Seriennummer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Service Level Agreement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Servicepauschale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Speicherbegrenzung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Sperre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Sprachfassung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SSO</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BZ · Business / B2B</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Standarddatenschutzklauseln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Steuerbefreiung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Stornierung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Streitbeilegungsverfahren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Support-Fall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Support-Team</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TDDDG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Team-Mitglied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Technischer Schaden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Teilerstattung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Totalverlust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Trust Center / Legal Hub</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Übergabezeitpunkt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Übermäßige Nutzung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Umbuchung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Umsatzsteuer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Unternehmensverifikation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Unzulässiges Produkt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PR-020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USt-IdNr.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VAG-Screening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Vendor-Framework-Vertrag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Vendor-Inhaber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Vendor-Kommunikation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Vendor-Kündigung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Vendor-Mitglied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Vendor-Onboarding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Vendor-Portal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Vendor-Portal-Nutzungsbedingungen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Vendor-Suspendierung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Vendor-Wallet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PY-024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Verantwortlicher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Verbraucherschlichtungsstelle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SU · Support &amp; Streitbeilegung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Verfügbarkeitsfenster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Verifikationsstatus</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Verkauf</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Verlängerung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Verpackung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Verpackung (Prozess)</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Verpackungsgesetz</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Versand</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Versandetikett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Verspätete Rückgabe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Vertragsgemäßer Gebrauch</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Vertragsmodell-Kennzeichnung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RM · Miet- &amp; Vertragsmodelle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Vertragspartner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Vertragsversion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Vertretungsberechtigter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ID-012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Verzugszinsen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Vorzeitige Rückgabe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BK-018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Warehouse-Betreiber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Warehouse-Portal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 · Plattform &amp; Rechtsträger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Warehouse-Service für Vendor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VN-014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Warehouse-Standort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WH-001</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Warenausgang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WH-004</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Wareneingang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Warenverantwortung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 · Lager &amp; Fulfillment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Werbe- und Sponsoring-Regeln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Whitelist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RK-010</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RK · Risiko, Missbrauch &amp; Betrug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Widerrufsbelehrung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Widerrufsrecht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CO-002</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 · Compliance &amp; Regulatorik</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Widerspruchsrecht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CN · Consent, Versionierung &amp; Änderung</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Wiederbeschaffungswert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DM-017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DM · Schaden, Verschleiß &amp; Verlust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Wirtschaftlich Berechtigter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 · Identität, KYC &amp; Verifikation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Zahlungsdienstleister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RO-015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RO · Rollen &amp; Parteien</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Zahlungseinzug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Zahlungsfreigabe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Zahlungsmittel</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PY-005</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Zahlungsverzug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Zahlungsvorautorisierung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PY · Zahlung, Abrechnung &amp; Steuer</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Zubehör</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PR-006</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Zubehörumfang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PR-007</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Zulässiges Produkt</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PR-019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Zusatzleistungen</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VN-013</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VN · Vendor / Marketplace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Zustandsklasse</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PR-009</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 · Produkt &amp; Asset</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Zustellung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BK · Buchung, Reservierung, Miete</w:t>
            </w:r>
          </w:p>
        </w:tc>
      </w:tr>
      <w:tr>
        <w:tc>
          <w:tcPr>
            <w:tcW w:type="dxa" w:w="42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Zweckbindung</w:t>
            </w:r>
          </w:p>
        </w:tc>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DA-008</w:t>
            </w:r>
          </w:p>
        </w:tc>
        <w:tc>
          <w:tcPr>
            <w:tcW w:type="dxa" w:w="37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 · Daten, Datenschutz &amp; Consent</w:t>
            </w:r>
          </w:p>
        </w:tc>
      </w:tr>
    </w:tbl>
    <w:p>
      <w:r>
        <w:br w:type="page"/>
      </w:r>
    </w:p>
    <w:p>
      <w:pPr>
        <w:pStyle w:val="Heading1"/>
      </w:pPr>
      <w:r>
        <w:t xml:space="preserve">Änderungshistorie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4700"/>
        <w:gridCol w:w="166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Version</w:t>
            </w:r>
          </w:p>
        </w:tc>
        <w:tc>
          <w:tcPr>
            <w:tcW w:type="dxa" w:w="16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Datum</w:t>
            </w:r>
          </w:p>
        </w:tc>
        <w:tc>
          <w:tcPr>
            <w:tcW w:type="dxa" w:w="47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Änderung</w:t>
            </w:r>
          </w:p>
        </w:tc>
        <w:tc>
          <w:tcPr>
            <w:tcW w:type="dxa" w:w="16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Autor / Freigabe</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c>
          <w:tcPr>
            <w:tcW w:type="dxa" w:w="16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c>
          <w:tcPr>
            <w:tcW w:type="dxa" w:w="47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Erstversion mit 280 Definitionen in 18 Kategorien.</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Legal Governance Board (Entwurf)</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8"/>
        <w:szCs w:val="18"/>
      </w:rPr>
      <w:t xml:space="preserve">LeasNet GmbH · Definitions-Katalog v1.0</w:t>
    </w:r>
    <w:r>
      <w:rPr>
        <w:color w:val="888888"/>
        <w:sz w:val="18"/>
        <w:szCs w:val="18"/>
      </w:rPr>
      <w:t xml:space="preserve">	Seite </w:t>
    </w:r>
    <w:r>
      <w:rPr>
        <w:color w:val="888888"/>
        <w:sz w:val="18"/>
        <w:szCs w:val="18"/>
      </w:rPr>
      <w:fldChar w:fldCharType="begin"/>
      <w:instrText xml:space="preserve">PAGE</w:instrText>
      <w:fldChar w:fldCharType="separate"/>
      <w:fldChar w:fldCharType="end"/>
    </w:r>
    <w:r>
      <w:rPr>
        <w:color w:val="888888"/>
        <w:sz w:val="18"/>
        <w:szCs w:val="18"/>
      </w:rPr>
      <w:t xml:space="preserve"> /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888888"/>
        <w:sz w:val="18"/>
        <w:szCs w:val="18"/>
      </w:rPr>
      <w:t xml:space="preserve">LeasNet GmbH · miet.net</w:t>
    </w:r>
    <w:r>
      <w:rPr>
        <w:color w:val="888888"/>
        <w:sz w:val="18"/>
        <w:szCs w:val="18"/>
      </w:rPr>
      <w:t xml:space="preserve">	Definitions-Katalog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pPr>
    <w:rPr>
      <w:rFonts w:ascii="Arial" w:cs="Arial" w:eastAsia="Arial" w:hAnsi="Arial"/>
      <w:b/>
      <w:bCs/>
      <w:sz w:val="56"/>
      <w:szCs w:val="56"/>
    </w:rPr>
  </w:style>
  <w:style w:type="paragraph" w:styleId="Subtitle">
    <w:name w:val="Subtitle"/>
    <w:basedOn w:val="Normal"/>
    <w:next w:val="Normal"/>
    <w:qFormat/>
    <w:pPr>
      <w:spacing w:after="240" w:before="0"/>
    </w:pPr>
    <w:rPr>
      <w:rFonts w:ascii="Arial" w:cs="Arial" w:eastAsia="Arial" w:hAnsi="Arial"/>
      <w:color w:val="555555"/>
      <w:sz w:val="28"/>
      <w:szCs w:val="28"/>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40" w:before="260"/>
      <w:outlineLvl w:val="1"/>
    </w:pPr>
    <w:rPr>
      <w:rFonts w:ascii="Arial" w:cs="Arial" w:eastAsia="Arial" w:hAnsi="Arial"/>
      <w:b/>
      <w:bCs/>
      <w:sz w:val="26"/>
      <w:szCs w:val="26"/>
    </w:rPr>
  </w:style>
  <w:style w:type="paragraph" w:styleId="Heading3">
    <w:name w:val="Heading 3"/>
    <w:basedOn w:val="Normal"/>
    <w:next w:val="Normal"/>
    <w:qFormat/>
    <w:pPr>
      <w:spacing w:after="100" w:before="200"/>
      <w:outlineLvl w:val="2"/>
    </w:pPr>
    <w:rPr>
      <w:rFonts w:ascii="Arial" w:cs="Arial" w:eastAsia="Arial" w:hAnsi="Arial"/>
      <w:b/>
      <w:bCs/>
      <w:sz w:val="23"/>
      <w:szCs w:val="23"/>
    </w:rPr>
  </w:style>
  <w:style w:type="paragraph" w:styleId="Caption">
    <w:name w:val="Caption"/>
    <w:basedOn w:val="Normal"/>
    <w:next w:val="Normal"/>
    <w:pPr>
      <w:spacing w:after="120" w:before="0"/>
    </w:pPr>
    <w:rPr>
      <w:rFonts w:ascii="Arial" w:cs="Arial" w:eastAsia="Arial" w:hAnsi="Arial"/>
      <w:i/>
      <w:iCs/>
      <w:color w:val="666666"/>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Definitions-Katalog v1.0</dc:title>
  <dc:creator>LeasNet GmbH</dc:creator>
  <cp:lastModifiedBy>Un-named</cp:lastModifiedBy>
  <cp:revision>1</cp:revision>
  <dcterms:created xsi:type="dcterms:W3CDTF">2026-07-17T08:28:51.594Z</dcterms:created>
  <dcterms:modified xsi:type="dcterms:W3CDTF">2026-07-17T08:28:51.594Z</dcterms:modified>
</cp:coreProperties>
</file>

<file path=docProps/custom.xml><?xml version="1.0" encoding="utf-8"?>
<Properties xmlns="http://schemas.openxmlformats.org/officeDocument/2006/custom-properties" xmlns:vt="http://schemas.openxmlformats.org/officeDocument/2006/docPropsVTypes"/>
</file>